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054F8" w14:textId="362950A4" w:rsidR="0005337B" w:rsidRPr="00FB704E" w:rsidRDefault="0005337B" w:rsidP="00FB704E">
      <w:pPr>
        <w:pStyle w:val="Heading1"/>
        <w:jc w:val="center"/>
        <w:rPr>
          <w:rStyle w:val="CharacterStyle2"/>
          <w:sz w:val="24"/>
        </w:rPr>
      </w:pPr>
      <w:bookmarkStart w:id="0" w:name="_Hlk9951997"/>
      <w:r w:rsidRPr="00FB704E">
        <w:rPr>
          <w:rStyle w:val="CharacterStyle2"/>
          <w:sz w:val="24"/>
        </w:rPr>
        <w:t>Energy Performance Part 6 Model Reach Code</w:t>
      </w:r>
    </w:p>
    <w:p w14:paraId="183B0A92" w14:textId="622AB7DC" w:rsidR="0005337B" w:rsidRPr="006A5B35" w:rsidRDefault="00882918" w:rsidP="0005337B">
      <w:pPr>
        <w:rPr>
          <w:rFonts w:cstheme="minorHAnsi"/>
          <w:sz w:val="24"/>
          <w:szCs w:val="24"/>
        </w:rPr>
      </w:pPr>
      <w:r>
        <w:rPr>
          <w:rStyle w:val="CharacterStyle2"/>
          <w:rFonts w:eastAsia="Times New Roman" w:cstheme="minorHAnsi"/>
          <w:sz w:val="24"/>
          <w:szCs w:val="24"/>
        </w:rPr>
        <w:t>Clean Power Alliance (CPA)</w:t>
      </w:r>
      <w:r w:rsidR="0005337B" w:rsidRPr="006A5B35">
        <w:rPr>
          <w:rStyle w:val="CharacterStyle2"/>
          <w:rFonts w:eastAsia="Times New Roman" w:cstheme="minorHAnsi"/>
          <w:sz w:val="24"/>
          <w:szCs w:val="24"/>
        </w:rPr>
        <w:t xml:space="preserve"> provide</w:t>
      </w:r>
      <w:r>
        <w:rPr>
          <w:rStyle w:val="CharacterStyle2"/>
          <w:rFonts w:eastAsia="Times New Roman" w:cstheme="minorHAnsi"/>
          <w:sz w:val="24"/>
          <w:szCs w:val="24"/>
        </w:rPr>
        <w:t>s</w:t>
      </w:r>
      <w:r w:rsidR="0005337B" w:rsidRPr="006A5B35">
        <w:rPr>
          <w:rStyle w:val="CharacterStyle2"/>
          <w:rFonts w:eastAsia="Times New Roman" w:cstheme="minorHAnsi"/>
          <w:sz w:val="24"/>
          <w:szCs w:val="24"/>
        </w:rPr>
        <w:t xml:space="preserve"> the Energy Performance Part 6 Model Reach Code</w:t>
      </w:r>
      <w:r w:rsidR="0005337B" w:rsidRPr="006A5B35">
        <w:rPr>
          <w:rStyle w:val="CharacterStyle2"/>
          <w:rFonts w:eastAsiaTheme="minorEastAsia" w:cstheme="minorHAnsi"/>
          <w:sz w:val="24"/>
          <w:szCs w:val="24"/>
        </w:rPr>
        <w:t xml:space="preserve">. </w:t>
      </w:r>
    </w:p>
    <w:p w14:paraId="347F0948" w14:textId="77777777" w:rsidR="000B592E" w:rsidRDefault="000B592E" w:rsidP="000B592E">
      <w:pPr>
        <w:pStyle w:val="paragraph"/>
        <w:numPr>
          <w:ilvl w:val="0"/>
          <w:numId w:val="6"/>
        </w:numPr>
        <w:spacing w:before="0" w:beforeAutospacing="0" w:after="0" w:afterAutospacing="0"/>
        <w:textAlignment w:val="baseline"/>
        <w:rPr>
          <w:rStyle w:val="normaltextrun"/>
          <w:rFonts w:ascii="Calibri" w:hAnsi="Calibri" w:cs="Calibri"/>
        </w:rPr>
      </w:pPr>
      <w:r>
        <w:rPr>
          <w:rStyle w:val="normaltextrun"/>
          <w:rFonts w:ascii="Calibri" w:hAnsi="Calibri" w:cs="Calibri"/>
          <w:color w:val="333333"/>
          <w:u w:val="single"/>
        </w:rPr>
        <w:t>Underlines</w:t>
      </w:r>
      <w:r>
        <w:rPr>
          <w:rStyle w:val="normaltextrun"/>
          <w:rFonts w:ascii="Calibri" w:hAnsi="Calibri" w:cs="Calibri"/>
          <w:color w:val="333333"/>
        </w:rPr>
        <w:t xml:space="preserve"> represent additions, </w:t>
      </w:r>
      <w:r>
        <w:rPr>
          <w:rStyle w:val="normaltextrun"/>
          <w:rFonts w:ascii="Calibri" w:hAnsi="Calibri" w:cs="Calibri"/>
          <w:strike/>
          <w:color w:val="333333"/>
        </w:rPr>
        <w:t>strikethroughs</w:t>
      </w:r>
      <w:r>
        <w:rPr>
          <w:rStyle w:val="normaltextrun"/>
          <w:rFonts w:ascii="Calibri" w:hAnsi="Calibri" w:cs="Calibri"/>
          <w:color w:val="333333"/>
        </w:rPr>
        <w:t xml:space="preserve"> represent deletions</w:t>
      </w:r>
      <w:r w:rsidRPr="003B3563">
        <w:rPr>
          <w:rStyle w:val="normaltextrun"/>
          <w:rFonts w:ascii="Calibri" w:hAnsi="Calibri" w:cs="Calibri"/>
        </w:rPr>
        <w:t>, and comments explain the rationale</w:t>
      </w:r>
      <w:r>
        <w:rPr>
          <w:rStyle w:val="normaltextrun"/>
          <w:rFonts w:ascii="Calibri" w:hAnsi="Calibri" w:cs="Calibri"/>
        </w:rPr>
        <w:t>.</w:t>
      </w:r>
    </w:p>
    <w:p w14:paraId="0893D944" w14:textId="77777777" w:rsidR="000B592E" w:rsidRPr="00BC6474" w:rsidRDefault="000B592E" w:rsidP="000B592E">
      <w:pPr>
        <w:pStyle w:val="paragraph"/>
        <w:numPr>
          <w:ilvl w:val="0"/>
          <w:numId w:val="6"/>
        </w:numPr>
        <w:spacing w:before="0" w:beforeAutospacing="0" w:after="0" w:afterAutospacing="0"/>
        <w:textAlignment w:val="baseline"/>
        <w:rPr>
          <w:rStyle w:val="eop"/>
          <w:rFonts w:ascii="Calibri" w:hAnsi="Calibri" w:cs="Calibri"/>
        </w:rPr>
      </w:pPr>
      <w:r w:rsidRPr="00BC6474">
        <w:rPr>
          <w:rStyle w:val="normaltextrun"/>
          <w:rFonts w:ascii="Calibri" w:hAnsi="Calibri" w:cs="Calibri"/>
          <w:shd w:val="clear" w:color="auto" w:fill="FFFFFF"/>
        </w:rPr>
        <w:t>Language [</w:t>
      </w:r>
      <w:r w:rsidRPr="00BC6474">
        <w:rPr>
          <w:rStyle w:val="normaltextrun"/>
          <w:rFonts w:ascii="Calibri" w:hAnsi="Calibri" w:cs="Calibri"/>
          <w:shd w:val="clear" w:color="auto" w:fill="D9D9D9" w:themeFill="background1" w:themeFillShade="D9"/>
        </w:rPr>
        <w:t>in parathesis</w:t>
      </w:r>
      <w:r w:rsidRPr="00BC6474">
        <w:rPr>
          <w:rStyle w:val="normaltextrun"/>
          <w:rFonts w:ascii="Calibri" w:hAnsi="Calibri" w:cs="Calibri"/>
          <w:shd w:val="clear" w:color="auto" w:fill="FFFFFF"/>
        </w:rPr>
        <w:t xml:space="preserve">] indicate </w:t>
      </w:r>
      <w:r>
        <w:rPr>
          <w:rStyle w:val="normaltextrun"/>
          <w:rFonts w:ascii="Calibri" w:hAnsi="Calibri" w:cs="Calibri"/>
          <w:shd w:val="clear" w:color="auto" w:fill="FFFFFF"/>
        </w:rPr>
        <w:t xml:space="preserve">an </w:t>
      </w:r>
      <w:r w:rsidRPr="00BC6474">
        <w:rPr>
          <w:rStyle w:val="normaltextrun"/>
          <w:rFonts w:ascii="Calibri" w:hAnsi="Calibri" w:cs="Calibri"/>
          <w:shd w:val="clear" w:color="auto" w:fill="FFFFFF"/>
        </w:rPr>
        <w:t>edit</w:t>
      </w:r>
      <w:r>
        <w:rPr>
          <w:rStyle w:val="normaltextrun"/>
          <w:rFonts w:ascii="Calibri" w:hAnsi="Calibri" w:cs="Calibri"/>
          <w:shd w:val="clear" w:color="auto" w:fill="FFFFFF"/>
        </w:rPr>
        <w:t xml:space="preserve"> i</w:t>
      </w:r>
      <w:r w:rsidRPr="00BC6474">
        <w:rPr>
          <w:rStyle w:val="normaltextrun"/>
          <w:rFonts w:ascii="Calibri" w:hAnsi="Calibri" w:cs="Calibri"/>
          <w:shd w:val="clear" w:color="auto" w:fill="FFFFFF"/>
        </w:rPr>
        <w:t xml:space="preserve">s needed by </w:t>
      </w:r>
      <w:r>
        <w:rPr>
          <w:rStyle w:val="normaltextrun"/>
          <w:rFonts w:ascii="Calibri" w:hAnsi="Calibri" w:cs="Calibri"/>
          <w:shd w:val="clear" w:color="auto" w:fill="FFFFFF"/>
        </w:rPr>
        <w:t xml:space="preserve">the </w:t>
      </w:r>
      <w:r w:rsidRPr="00BC6474">
        <w:rPr>
          <w:rStyle w:val="normaltextrun"/>
          <w:rFonts w:ascii="Calibri" w:hAnsi="Calibri" w:cs="Calibri"/>
          <w:shd w:val="clear" w:color="auto" w:fill="FFFFFF"/>
        </w:rPr>
        <w:t>jurisdiction.</w:t>
      </w:r>
    </w:p>
    <w:p w14:paraId="2B02AB78" w14:textId="77777777" w:rsidR="000B592E" w:rsidRDefault="000B592E" w:rsidP="000B592E">
      <w:pPr>
        <w:pStyle w:val="paragraph"/>
        <w:numPr>
          <w:ilvl w:val="0"/>
          <w:numId w:val="6"/>
        </w:numPr>
        <w:spacing w:before="0" w:beforeAutospacing="0" w:after="0" w:afterAutospacing="0"/>
        <w:textAlignment w:val="baseline"/>
        <w:rPr>
          <w:rFonts w:ascii="Calibri" w:hAnsi="Calibri" w:cs="Calibri"/>
        </w:rPr>
      </w:pPr>
      <w:r w:rsidRPr="003B3563">
        <w:rPr>
          <w:rStyle w:val="normaltextrun"/>
          <w:rFonts w:ascii="Calibri" w:hAnsi="Calibri" w:cs="Calibri"/>
          <w:color w:val="333333"/>
        </w:rPr>
        <w:t>This model code language is based on technical feasibility, cost-effectiveness, and similar code enacted by the state, but has not been tested the courts. It is the responsibility of each city to review and understand this language as part of normal city adoption processes.</w:t>
      </w:r>
    </w:p>
    <w:p w14:paraId="2078E30D" w14:textId="77777777" w:rsidR="000B592E" w:rsidRDefault="000B592E" w:rsidP="000B592E">
      <w:pPr>
        <w:pStyle w:val="paragraph"/>
        <w:numPr>
          <w:ilvl w:val="0"/>
          <w:numId w:val="6"/>
        </w:numPr>
        <w:spacing w:before="0" w:beforeAutospacing="0" w:after="0" w:afterAutospacing="0"/>
        <w:textAlignment w:val="baseline"/>
        <w:rPr>
          <w:rFonts w:ascii="Calibri" w:hAnsi="Calibri" w:cs="Calibri"/>
        </w:rPr>
      </w:pPr>
      <w:r w:rsidRPr="003B3563">
        <w:rPr>
          <w:rStyle w:val="normaltextrun"/>
          <w:rFonts w:ascii="Calibri" w:hAnsi="Calibri" w:cs="Calibri"/>
          <w:color w:val="333333"/>
        </w:rPr>
        <w:t>This is one model code, and sections can be revised/re-worded based on jurisdiction preferences or other model codes available.</w:t>
      </w:r>
    </w:p>
    <w:p w14:paraId="7E1B14C4" w14:textId="6300E5DC" w:rsidR="00982C4A" w:rsidRPr="009A498A" w:rsidRDefault="00982C4A" w:rsidP="009A498A">
      <w:pPr>
        <w:pStyle w:val="ListParagraph"/>
        <w:numPr>
          <w:ilvl w:val="0"/>
          <w:numId w:val="6"/>
        </w:numPr>
        <w:rPr>
          <w:rFonts w:cstheme="minorHAnsi"/>
          <w:iCs/>
          <w:color w:val="333333"/>
          <w:sz w:val="24"/>
          <w:szCs w:val="24"/>
        </w:rPr>
      </w:pPr>
      <w:r w:rsidRPr="009A498A">
        <w:rPr>
          <w:rFonts w:cstheme="minorHAnsi"/>
          <w:sz w:val="24"/>
          <w:szCs w:val="24"/>
        </w:rPr>
        <w:br w:type="page"/>
      </w:r>
    </w:p>
    <w:bookmarkEnd w:id="0"/>
    <w:p w14:paraId="5E9E84D6" w14:textId="26DE5621" w:rsidR="00C128F3" w:rsidRPr="006A5B35" w:rsidRDefault="00861D74">
      <w:pPr>
        <w:rPr>
          <w:rFonts w:cstheme="minorHAnsi"/>
          <w:sz w:val="24"/>
          <w:szCs w:val="24"/>
        </w:rPr>
      </w:pPr>
      <w:r w:rsidRPr="006A5B35">
        <w:rPr>
          <w:rFonts w:cstheme="minorHAnsi"/>
          <w:sz w:val="24"/>
          <w:szCs w:val="24"/>
          <w:highlight w:val="yellow"/>
        </w:rPr>
        <w:lastRenderedPageBreak/>
        <w:t>&lt;</w:t>
      </w:r>
      <w:r w:rsidR="00FB704E">
        <w:rPr>
          <w:rFonts w:cstheme="minorHAnsi"/>
          <w:sz w:val="24"/>
          <w:szCs w:val="24"/>
          <w:highlight w:val="yellow"/>
        </w:rPr>
        <w:t>Jurisdiction</w:t>
      </w:r>
      <w:r w:rsidRPr="006A5B35">
        <w:rPr>
          <w:rFonts w:cstheme="minorHAnsi"/>
          <w:sz w:val="24"/>
          <w:szCs w:val="24"/>
          <w:highlight w:val="yellow"/>
        </w:rPr>
        <w:t>&gt;</w:t>
      </w:r>
      <w:r w:rsidR="00C128F3" w:rsidRPr="006A5B35">
        <w:rPr>
          <w:rFonts w:cstheme="minorHAnsi"/>
          <w:sz w:val="24"/>
          <w:szCs w:val="24"/>
        </w:rPr>
        <w:t xml:space="preserve"> Adopts </w:t>
      </w:r>
      <w:r w:rsidR="00856F26" w:rsidRPr="006A5B35">
        <w:rPr>
          <w:rFonts w:cstheme="minorHAnsi"/>
          <w:sz w:val="24"/>
          <w:szCs w:val="24"/>
        </w:rPr>
        <w:t xml:space="preserve">California </w:t>
      </w:r>
      <w:r w:rsidR="00B22661" w:rsidRPr="006A5B35">
        <w:rPr>
          <w:rFonts w:cstheme="minorHAnsi"/>
          <w:sz w:val="24"/>
          <w:szCs w:val="24"/>
        </w:rPr>
        <w:t xml:space="preserve">Building </w:t>
      </w:r>
      <w:r w:rsidR="00856F26" w:rsidRPr="006A5B35">
        <w:rPr>
          <w:rFonts w:cstheme="minorHAnsi"/>
          <w:sz w:val="24"/>
          <w:szCs w:val="24"/>
        </w:rPr>
        <w:t xml:space="preserve">Energy </w:t>
      </w:r>
      <w:r w:rsidR="00B22661" w:rsidRPr="006A5B35">
        <w:rPr>
          <w:rFonts w:cstheme="minorHAnsi"/>
          <w:sz w:val="24"/>
          <w:szCs w:val="24"/>
        </w:rPr>
        <w:t>Efficiency Standards</w:t>
      </w:r>
      <w:r w:rsidR="00856F26" w:rsidRPr="006A5B35">
        <w:rPr>
          <w:rFonts w:cstheme="minorHAnsi"/>
          <w:sz w:val="24"/>
          <w:szCs w:val="24"/>
        </w:rPr>
        <w:t>, 20</w:t>
      </w:r>
      <w:r w:rsidR="008F0C63" w:rsidRPr="006A5B35">
        <w:rPr>
          <w:rFonts w:cstheme="minorHAnsi"/>
          <w:sz w:val="24"/>
          <w:szCs w:val="24"/>
        </w:rPr>
        <w:t>22</w:t>
      </w:r>
      <w:r w:rsidR="00856F26" w:rsidRPr="006A5B35">
        <w:rPr>
          <w:rFonts w:cstheme="minorHAnsi"/>
          <w:sz w:val="24"/>
          <w:szCs w:val="24"/>
        </w:rPr>
        <w:t xml:space="preserve"> Edition, Title 24, Part 6 of the California Code of Regulations </w:t>
      </w:r>
      <w:r w:rsidR="00C128F3" w:rsidRPr="006A5B35">
        <w:rPr>
          <w:rFonts w:cstheme="minorHAnsi"/>
          <w:sz w:val="24"/>
          <w:szCs w:val="24"/>
        </w:rPr>
        <w:t xml:space="preserve">in </w:t>
      </w:r>
      <w:r w:rsidR="00214BF8" w:rsidRPr="006A5B35">
        <w:rPr>
          <w:rFonts w:cstheme="minorHAnsi"/>
          <w:sz w:val="24"/>
          <w:szCs w:val="24"/>
        </w:rPr>
        <w:t>its</w:t>
      </w:r>
      <w:r w:rsidR="00C128F3" w:rsidRPr="006A5B35">
        <w:rPr>
          <w:rFonts w:cstheme="minorHAnsi"/>
          <w:sz w:val="24"/>
          <w:szCs w:val="24"/>
        </w:rPr>
        <w:t xml:space="preserve"> full form with the following local amendments:</w:t>
      </w:r>
    </w:p>
    <w:p w14:paraId="0F260F79" w14:textId="77777777" w:rsidR="00D85BE1" w:rsidRPr="006A5B35" w:rsidRDefault="00D85BE1" w:rsidP="00FB704E">
      <w:pPr>
        <w:pStyle w:val="Heading1"/>
      </w:pPr>
      <w:r w:rsidRPr="006A5B35">
        <w:t xml:space="preserve">SUBCHAPTER 1 </w:t>
      </w:r>
    </w:p>
    <w:p w14:paraId="508B85DB" w14:textId="77777777" w:rsidR="00DF40B8" w:rsidRPr="006A5B35" w:rsidRDefault="15B997FD" w:rsidP="008A4C46">
      <w:pPr>
        <w:pStyle w:val="Heading2"/>
        <w:rPr>
          <w:rFonts w:asciiTheme="minorHAnsi" w:hAnsiTheme="minorHAnsi" w:cstheme="minorHAnsi"/>
          <w:sz w:val="24"/>
          <w:szCs w:val="24"/>
        </w:rPr>
      </w:pPr>
      <w:r w:rsidRPr="006A5B35">
        <w:rPr>
          <w:rFonts w:asciiTheme="minorHAnsi" w:hAnsiTheme="minorHAnsi" w:cstheme="minorHAnsi"/>
          <w:sz w:val="24"/>
          <w:szCs w:val="24"/>
        </w:rPr>
        <w:t>ALL OCCUPANCIES—GENERAL PROVISIONS</w:t>
      </w:r>
    </w:p>
    <w:p w14:paraId="297E4140" w14:textId="2F343CFE" w:rsidR="00DB4D76" w:rsidRPr="006A5B35" w:rsidRDefault="18EFB8F5" w:rsidP="18EFB8F5">
      <w:pPr>
        <w:pStyle w:val="Heading3"/>
        <w:rPr>
          <w:rFonts w:asciiTheme="minorHAnsi" w:hAnsiTheme="minorHAnsi" w:cstheme="minorHAnsi"/>
        </w:rPr>
      </w:pPr>
      <w:r w:rsidRPr="006A5B35">
        <w:rPr>
          <w:rFonts w:asciiTheme="minorHAnsi" w:hAnsiTheme="minorHAnsi" w:cstheme="minorHAnsi"/>
        </w:rPr>
        <w:t>SECTION 100.1(b) – DEFINITIONS AND RULES OF CONSTRUCTION</w:t>
      </w:r>
    </w:p>
    <w:p w14:paraId="6B99EE9E" w14:textId="77777777" w:rsidR="00DB4D76" w:rsidRPr="006A5B35" w:rsidRDefault="15B997FD" w:rsidP="00DB4D76">
      <w:pPr>
        <w:rPr>
          <w:rFonts w:cstheme="minorHAnsi"/>
          <w:sz w:val="24"/>
          <w:szCs w:val="24"/>
        </w:rPr>
      </w:pPr>
      <w:r w:rsidRPr="006A5B35">
        <w:rPr>
          <w:rFonts w:cstheme="minorHAnsi"/>
          <w:sz w:val="24"/>
          <w:szCs w:val="24"/>
        </w:rPr>
        <w:t>Section 100.1(b) is amended to add the following:</w:t>
      </w:r>
    </w:p>
    <w:p w14:paraId="18D3DE02" w14:textId="397FBE25" w:rsidR="00DB4D76" w:rsidRPr="006A5B35" w:rsidRDefault="18EFB8F5" w:rsidP="18EFB8F5">
      <w:pPr>
        <w:rPr>
          <w:rFonts w:cstheme="minorHAnsi"/>
          <w:b/>
          <w:bCs/>
          <w:sz w:val="24"/>
          <w:szCs w:val="24"/>
          <w:u w:val="single"/>
        </w:rPr>
      </w:pPr>
      <w:r w:rsidRPr="006A5B35">
        <w:rPr>
          <w:rFonts w:cstheme="minorHAnsi"/>
          <w:b/>
          <w:bCs/>
          <w:sz w:val="24"/>
          <w:szCs w:val="24"/>
          <w:u w:val="single"/>
        </w:rPr>
        <w:t xml:space="preserve">ELECTRIC HEATING APPLIANCE. </w:t>
      </w:r>
      <w:r w:rsidRPr="006A5B35">
        <w:rPr>
          <w:rFonts w:cstheme="minorHAnsi"/>
          <w:sz w:val="24"/>
          <w:szCs w:val="24"/>
          <w:u w:val="single"/>
        </w:rPr>
        <w:t>A device that produces heat energy to create a warm environment by the application of electric power to resistance elements, refrigerant compressors, or dissimilar material junctions, as defined in the California Mechanical Code.</w:t>
      </w:r>
    </w:p>
    <w:p w14:paraId="407A6E38" w14:textId="71091FC4" w:rsidR="00C854CE" w:rsidRPr="006A5B35" w:rsidRDefault="18EFB8F5" w:rsidP="18EFB8F5">
      <w:pPr>
        <w:rPr>
          <w:rFonts w:cstheme="minorHAnsi"/>
          <w:sz w:val="24"/>
          <w:szCs w:val="24"/>
          <w:u w:val="single"/>
        </w:rPr>
      </w:pPr>
      <w:r w:rsidRPr="006A5B35">
        <w:rPr>
          <w:rFonts w:cstheme="minorHAnsi"/>
          <w:b/>
          <w:bCs/>
          <w:sz w:val="24"/>
          <w:szCs w:val="24"/>
          <w:u w:val="single"/>
        </w:rPr>
        <w:t>NET FREE AREA (NFA)</w:t>
      </w:r>
      <w:r w:rsidRPr="006A5B35">
        <w:rPr>
          <w:rFonts w:cstheme="minorHAnsi"/>
          <w:sz w:val="24"/>
          <w:szCs w:val="24"/>
          <w:u w:val="single"/>
        </w:rPr>
        <w:t xml:space="preserve"> is the total unobstructed area of the air gaps between louver and grille slats in a vent through which air can pass. The narrowest distance between two slats, perpendicular to the surface of both slats is the air gap height. The narrowest width of the gap is the air gap width. The NFA is the air gap height multiplied by the air gap width multiplied by the total number of air gaps between slats in the vent.</w:t>
      </w:r>
    </w:p>
    <w:p w14:paraId="6DECB558" w14:textId="4AB8A282" w:rsidR="18EFB8F5" w:rsidRPr="006A5B35" w:rsidRDefault="18EFB8F5">
      <w:pPr>
        <w:rPr>
          <w:rFonts w:cstheme="minorHAnsi"/>
          <w:sz w:val="24"/>
          <w:szCs w:val="24"/>
        </w:rPr>
      </w:pPr>
      <w:r w:rsidRPr="006A5B35">
        <w:rPr>
          <w:rFonts w:cstheme="minorHAnsi"/>
          <w:sz w:val="24"/>
          <w:szCs w:val="24"/>
        </w:rPr>
        <w:br w:type="page"/>
      </w:r>
    </w:p>
    <w:p w14:paraId="7D4DDA0E" w14:textId="77777777" w:rsidR="003D5B14" w:rsidRPr="003972B7" w:rsidRDefault="003D5B14" w:rsidP="003D5B14">
      <w:pPr>
        <w:pStyle w:val="Heading1"/>
        <w:rPr>
          <w:rFonts w:asciiTheme="minorHAnsi" w:hAnsiTheme="minorHAnsi" w:cstheme="minorHAnsi"/>
          <w:szCs w:val="24"/>
        </w:rPr>
      </w:pPr>
      <w:r w:rsidRPr="003972B7">
        <w:rPr>
          <w:rFonts w:asciiTheme="minorHAnsi" w:hAnsiTheme="minorHAnsi" w:cstheme="minorHAnsi"/>
          <w:szCs w:val="24"/>
        </w:rPr>
        <w:lastRenderedPageBreak/>
        <w:t>SUBCHAPTER 3</w:t>
      </w:r>
    </w:p>
    <w:p w14:paraId="2EB34645" w14:textId="77777777" w:rsidR="003D5B14" w:rsidRPr="003972B7" w:rsidRDefault="003D5B14" w:rsidP="003972B7">
      <w:pPr>
        <w:pStyle w:val="Heading2"/>
        <w:rPr>
          <w:rFonts w:asciiTheme="minorHAnsi" w:hAnsiTheme="minorHAnsi" w:cstheme="minorHAnsi"/>
          <w:sz w:val="24"/>
          <w:szCs w:val="24"/>
        </w:rPr>
      </w:pPr>
      <w:r w:rsidRPr="003972B7">
        <w:rPr>
          <w:rFonts w:asciiTheme="minorHAnsi" w:hAnsiTheme="minorHAnsi" w:cstheme="minorHAnsi"/>
          <w:sz w:val="24"/>
          <w:szCs w:val="24"/>
        </w:rPr>
        <w:t>NONRESIDENTIAL, HOTEL/MOTEL OCCUPANCIES, AND COVERED PROCESSES – MANDATORY REQUIREMENTS</w:t>
      </w:r>
    </w:p>
    <w:p w14:paraId="2E9B9039" w14:textId="77777777" w:rsidR="003D5B14" w:rsidRPr="003972B7" w:rsidRDefault="003D5B14" w:rsidP="003D5B14">
      <w:pPr>
        <w:pStyle w:val="Heading3"/>
        <w:rPr>
          <w:rFonts w:asciiTheme="minorHAnsi" w:eastAsia="Calibri Light" w:hAnsiTheme="minorHAnsi" w:cstheme="minorHAnsi"/>
          <w:color w:val="1F3763"/>
        </w:rPr>
      </w:pPr>
      <w:r w:rsidRPr="003972B7">
        <w:rPr>
          <w:rFonts w:asciiTheme="minorHAnsi" w:eastAsia="Calibri Light" w:hAnsiTheme="minorHAnsi" w:cstheme="minorHAnsi"/>
          <w:color w:val="1F3763"/>
        </w:rPr>
        <w:t>SECTION 120.2 – REQUIRED CONTROLS FOR SPACE-CONDITIONING SYSTEMS</w:t>
      </w:r>
    </w:p>
    <w:p w14:paraId="20F8954E" w14:textId="77777777" w:rsidR="003D5B14" w:rsidRPr="003D5B14" w:rsidRDefault="003D5B14" w:rsidP="003D5B14">
      <w:pPr>
        <w:rPr>
          <w:rFonts w:cstheme="minorHAnsi"/>
          <w:sz w:val="24"/>
          <w:szCs w:val="24"/>
        </w:rPr>
      </w:pPr>
      <w:r w:rsidRPr="003D5B14">
        <w:rPr>
          <w:rFonts w:eastAsia="Calibri" w:cstheme="minorHAnsi"/>
          <w:sz w:val="24"/>
          <w:szCs w:val="24"/>
        </w:rPr>
        <w:t xml:space="preserve">Subchapter 3 </w:t>
      </w:r>
      <w:r w:rsidRPr="003D5B14">
        <w:rPr>
          <w:rFonts w:cstheme="minorHAnsi"/>
          <w:sz w:val="24"/>
          <w:szCs w:val="24"/>
        </w:rPr>
        <w:t>is amended to add Section 120.2(l) to be numbered, entitled, and to read as follows:</w:t>
      </w:r>
    </w:p>
    <w:p w14:paraId="7B848675" w14:textId="77777777" w:rsidR="003D5B14" w:rsidRPr="003D5B14" w:rsidRDefault="003D5B14" w:rsidP="003D5B14">
      <w:pPr>
        <w:pStyle w:val="Subtitle"/>
        <w:numPr>
          <w:ilvl w:val="0"/>
          <w:numId w:val="0"/>
        </w:numPr>
        <w:ind w:left="720"/>
        <w:rPr>
          <w:rFonts w:eastAsiaTheme="minorHAnsi" w:cstheme="minorHAnsi"/>
          <w:color w:val="auto"/>
          <w:spacing w:val="0"/>
          <w:sz w:val="24"/>
          <w:szCs w:val="24"/>
        </w:rPr>
      </w:pPr>
      <w:r w:rsidRPr="003D5B14">
        <w:rPr>
          <w:rFonts w:eastAsiaTheme="minorHAnsi" w:cstheme="minorHAnsi"/>
          <w:color w:val="auto"/>
          <w:spacing w:val="0"/>
          <w:sz w:val="24"/>
          <w:szCs w:val="24"/>
        </w:rPr>
        <w:t>(a) – (k):  Subsections 120.2(a) – (k) are adopted without modification.</w:t>
      </w:r>
    </w:p>
    <w:p w14:paraId="26272E64" w14:textId="77777777" w:rsidR="003D5B14" w:rsidRPr="003D5B14" w:rsidRDefault="003D5B14" w:rsidP="003D5B14">
      <w:pPr>
        <w:pStyle w:val="Subtitle"/>
        <w:numPr>
          <w:ilvl w:val="0"/>
          <w:numId w:val="0"/>
        </w:numPr>
        <w:ind w:left="720"/>
        <w:rPr>
          <w:rFonts w:eastAsiaTheme="minorHAnsi" w:cstheme="minorHAnsi"/>
          <w:color w:val="auto"/>
          <w:spacing w:val="0"/>
          <w:sz w:val="24"/>
          <w:szCs w:val="24"/>
          <w:u w:val="single"/>
        </w:rPr>
      </w:pPr>
      <w:r w:rsidRPr="003D5B14">
        <w:rPr>
          <w:rFonts w:eastAsiaTheme="minorHAnsi" w:cstheme="minorHAnsi"/>
          <w:color w:val="auto"/>
          <w:spacing w:val="0"/>
          <w:sz w:val="24"/>
          <w:szCs w:val="24"/>
          <w:u w:val="single"/>
        </w:rPr>
        <w:t>(l) ​HVAC Hot Water Temperature. Zones that use hot water for space heating shall be designed for a hot water supply temperature of no greater than 130 °F.</w:t>
      </w:r>
    </w:p>
    <w:p w14:paraId="482B7DC8" w14:textId="77777777" w:rsidR="003D5B14" w:rsidRPr="003D5B14" w:rsidRDefault="003D5B14" w:rsidP="003D5B14"/>
    <w:p w14:paraId="47853820" w14:textId="77777777" w:rsidR="003D5B14" w:rsidRPr="003972B7" w:rsidRDefault="003D5B14" w:rsidP="003D5B14">
      <w:pPr>
        <w:pStyle w:val="Heading3"/>
        <w:rPr>
          <w:rFonts w:asciiTheme="minorHAnsi" w:eastAsia="Calibri Light" w:hAnsiTheme="minorHAnsi" w:cstheme="minorHAnsi"/>
          <w:color w:val="1F3763"/>
        </w:rPr>
      </w:pPr>
      <w:r w:rsidRPr="003972B7">
        <w:rPr>
          <w:rFonts w:asciiTheme="minorHAnsi" w:eastAsia="Calibri Light" w:hAnsiTheme="minorHAnsi" w:cstheme="minorHAnsi"/>
          <w:color w:val="1F3763"/>
        </w:rPr>
        <w:t>SECTION 120.6 – GENERAL</w:t>
      </w:r>
    </w:p>
    <w:p w14:paraId="5CC6EEA0" w14:textId="77777777" w:rsidR="003D5B14" w:rsidRPr="003D5B14" w:rsidRDefault="003D5B14" w:rsidP="003D5B14">
      <w:pPr>
        <w:spacing w:line="257" w:lineRule="auto"/>
        <w:rPr>
          <w:rFonts w:cstheme="minorHAnsi"/>
          <w:sz w:val="24"/>
          <w:szCs w:val="24"/>
        </w:rPr>
      </w:pPr>
      <w:r w:rsidRPr="003D5B14">
        <w:rPr>
          <w:rFonts w:eastAsia="Calibri" w:cstheme="minorHAnsi"/>
          <w:sz w:val="24"/>
          <w:szCs w:val="24"/>
        </w:rPr>
        <w:t xml:space="preserve">Subchapter 3 </w:t>
      </w:r>
      <w:r w:rsidRPr="003D5B14">
        <w:rPr>
          <w:rFonts w:cstheme="minorHAnsi"/>
          <w:sz w:val="24"/>
          <w:szCs w:val="24"/>
        </w:rPr>
        <w:t>is amended to add Section 120.6 to be numbered, entitled, and to read as follows:</w:t>
      </w:r>
    </w:p>
    <w:p w14:paraId="56BD6982" w14:textId="77777777" w:rsidR="003D5B14" w:rsidRPr="003D5B14" w:rsidRDefault="003D5B14" w:rsidP="003D5B14">
      <w:pPr>
        <w:pStyle w:val="Subtitle"/>
        <w:numPr>
          <w:ilvl w:val="0"/>
          <w:numId w:val="0"/>
        </w:numPr>
        <w:ind w:left="720"/>
        <w:rPr>
          <w:rFonts w:eastAsiaTheme="minorHAnsi" w:cstheme="minorHAnsi"/>
          <w:color w:val="auto"/>
          <w:spacing w:val="0"/>
          <w:sz w:val="24"/>
          <w:szCs w:val="24"/>
        </w:rPr>
      </w:pPr>
      <w:r w:rsidRPr="003D5B14">
        <w:rPr>
          <w:rFonts w:eastAsiaTheme="minorHAnsi" w:cstheme="minorHAnsi"/>
          <w:color w:val="auto"/>
          <w:spacing w:val="0"/>
          <w:sz w:val="24"/>
          <w:szCs w:val="24"/>
        </w:rPr>
        <w:t>(a) – (j):  Subsections 120.6(a) – (j) are adopted without modification.</w:t>
      </w:r>
    </w:p>
    <w:p w14:paraId="3B8583F5" w14:textId="77777777" w:rsidR="003D5B14" w:rsidRPr="003D5B14" w:rsidRDefault="003D5B14" w:rsidP="003D5B14">
      <w:pPr>
        <w:ind w:left="720"/>
        <w:rPr>
          <w:rFonts w:cstheme="minorHAnsi"/>
          <w:sz w:val="24"/>
          <w:szCs w:val="24"/>
          <w:u w:val="single"/>
        </w:rPr>
      </w:pPr>
      <w:r w:rsidRPr="003D5B14">
        <w:rPr>
          <w:rFonts w:cstheme="minorHAnsi"/>
          <w:sz w:val="24"/>
          <w:szCs w:val="24"/>
          <w:u w:val="single"/>
        </w:rPr>
        <w:t>(k) Mandatory requirements for commercial kitchens. Electric Readiness for Newly Constructed Commercial Kitchens shall meet the following requirements:</w:t>
      </w:r>
    </w:p>
    <w:p w14:paraId="0C241EC8" w14:textId="77777777" w:rsidR="003D5B14" w:rsidRPr="003D5B14" w:rsidRDefault="003D5B14" w:rsidP="003D5B14">
      <w:pPr>
        <w:ind w:left="1440"/>
        <w:rPr>
          <w:rFonts w:cstheme="minorHAnsi"/>
          <w:sz w:val="24"/>
          <w:szCs w:val="24"/>
          <w:u w:val="single"/>
        </w:rPr>
      </w:pPr>
      <w:r w:rsidRPr="003D5B14">
        <w:rPr>
          <w:rFonts w:cstheme="minorHAnsi"/>
          <w:sz w:val="24"/>
          <w:szCs w:val="24"/>
          <w:u w:val="single"/>
        </w:rPr>
        <w:t xml:space="preserve">1. Quick-service commercial kitchens and institutional commercial kitchens shall meet </w:t>
      </w:r>
      <w:proofErr w:type="gramStart"/>
      <w:r w:rsidRPr="003D5B14">
        <w:rPr>
          <w:rFonts w:cstheme="minorHAnsi"/>
          <w:sz w:val="24"/>
          <w:szCs w:val="24"/>
          <w:u w:val="single"/>
        </w:rPr>
        <w:t>all of</w:t>
      </w:r>
      <w:proofErr w:type="gramEnd"/>
      <w:r w:rsidRPr="003D5B14">
        <w:rPr>
          <w:rFonts w:cstheme="minorHAnsi"/>
          <w:sz w:val="24"/>
          <w:szCs w:val="24"/>
          <w:u w:val="single"/>
        </w:rPr>
        <w:t xml:space="preserve"> the following requirements:</w:t>
      </w:r>
    </w:p>
    <w:p w14:paraId="60BD8ACA" w14:textId="77777777" w:rsidR="003D5B14" w:rsidRPr="003D5B14" w:rsidRDefault="003D5B14" w:rsidP="003D5B14">
      <w:pPr>
        <w:ind w:left="2160"/>
        <w:rPr>
          <w:rFonts w:cstheme="minorHAnsi"/>
          <w:sz w:val="24"/>
          <w:szCs w:val="24"/>
          <w:u w:val="single"/>
        </w:rPr>
      </w:pPr>
      <w:r w:rsidRPr="003D5B14">
        <w:rPr>
          <w:rFonts w:cstheme="minorHAnsi"/>
          <w:sz w:val="24"/>
          <w:szCs w:val="24"/>
          <w:u w:val="single"/>
        </w:rPr>
        <w:t>a. Include a dedicated branch circuit wiring and outlet that would be accessible to cookline appliances.</w:t>
      </w:r>
    </w:p>
    <w:p w14:paraId="628240B2" w14:textId="77777777" w:rsidR="003D5B14" w:rsidRPr="003D5B14" w:rsidRDefault="003D5B14" w:rsidP="003D5B14">
      <w:pPr>
        <w:ind w:left="2160"/>
        <w:rPr>
          <w:rFonts w:cstheme="minorHAnsi"/>
          <w:sz w:val="24"/>
          <w:szCs w:val="24"/>
          <w:u w:val="single"/>
        </w:rPr>
      </w:pPr>
      <w:r w:rsidRPr="003D5B14">
        <w:rPr>
          <w:rFonts w:cstheme="minorHAnsi"/>
          <w:sz w:val="24"/>
          <w:szCs w:val="24"/>
          <w:u w:val="single"/>
        </w:rPr>
        <w:t>b. The branch circuit conductors shall be rated at 50 amps minimum.</w:t>
      </w:r>
    </w:p>
    <w:p w14:paraId="39F8DA49" w14:textId="77777777" w:rsidR="003D5B14" w:rsidRPr="003D5B14" w:rsidRDefault="003D5B14" w:rsidP="003D5B14">
      <w:pPr>
        <w:ind w:left="2160"/>
        <w:rPr>
          <w:rFonts w:cstheme="minorHAnsi"/>
          <w:sz w:val="24"/>
          <w:szCs w:val="24"/>
          <w:u w:val="single"/>
        </w:rPr>
      </w:pPr>
      <w:r w:rsidRPr="003D5B14">
        <w:rPr>
          <w:rFonts w:cstheme="minorHAnsi"/>
          <w:sz w:val="24"/>
          <w:szCs w:val="24"/>
          <w:u w:val="single"/>
        </w:rPr>
        <w:t>c. The electrical service shall have a capacity not less than 800 amps.</w:t>
      </w:r>
    </w:p>
    <w:p w14:paraId="1ADAF265" w14:textId="5F44D19C" w:rsidR="003D5B14" w:rsidRDefault="003D5B14" w:rsidP="003D5B14">
      <w:pPr>
        <w:ind w:left="1440"/>
        <w:rPr>
          <w:rFonts w:cstheme="minorHAnsi"/>
          <w:sz w:val="24"/>
          <w:szCs w:val="24"/>
          <w:u w:val="single"/>
        </w:rPr>
      </w:pPr>
      <w:r w:rsidRPr="003D5B14">
        <w:rPr>
          <w:rFonts w:cstheme="minorHAnsi"/>
          <w:sz w:val="24"/>
          <w:szCs w:val="24"/>
          <w:u w:val="single"/>
        </w:rPr>
        <w:t xml:space="preserve">2. Main electrical service panel shall be sized to accommodate at least two additional </w:t>
      </w:r>
      <w:proofErr w:type="gramStart"/>
      <w:r w:rsidRPr="003D5B14">
        <w:rPr>
          <w:rFonts w:cstheme="minorHAnsi"/>
          <w:sz w:val="24"/>
          <w:szCs w:val="24"/>
          <w:u w:val="single"/>
        </w:rPr>
        <w:t>50 amp</w:t>
      </w:r>
      <w:proofErr w:type="gramEnd"/>
      <w:r w:rsidRPr="003D5B14">
        <w:rPr>
          <w:rFonts w:cstheme="minorHAnsi"/>
          <w:sz w:val="24"/>
          <w:szCs w:val="24"/>
          <w:u w:val="single"/>
        </w:rPr>
        <w:t xml:space="preserve"> breakers.</w:t>
      </w:r>
    </w:p>
    <w:p w14:paraId="6E2A499A" w14:textId="77777777" w:rsidR="003D5B14" w:rsidRDefault="003D5B14">
      <w:pPr>
        <w:rPr>
          <w:rFonts w:cstheme="minorHAnsi"/>
          <w:sz w:val="24"/>
          <w:szCs w:val="24"/>
          <w:u w:val="single"/>
        </w:rPr>
      </w:pPr>
      <w:r>
        <w:rPr>
          <w:rFonts w:cstheme="minorHAnsi"/>
          <w:sz w:val="24"/>
          <w:szCs w:val="24"/>
          <w:u w:val="single"/>
        </w:rPr>
        <w:br w:type="page"/>
      </w:r>
    </w:p>
    <w:p w14:paraId="270E736E" w14:textId="77777777" w:rsidR="00C92E04" w:rsidRPr="006A5B35" w:rsidRDefault="00C92E04" w:rsidP="00AA4079">
      <w:pPr>
        <w:pStyle w:val="Heading1"/>
        <w:rPr>
          <w:rFonts w:asciiTheme="minorHAnsi" w:hAnsiTheme="minorHAnsi" w:cstheme="minorHAnsi"/>
          <w:szCs w:val="24"/>
        </w:rPr>
      </w:pPr>
      <w:r w:rsidRPr="006A5B35">
        <w:rPr>
          <w:rFonts w:asciiTheme="minorHAnsi" w:hAnsiTheme="minorHAnsi" w:cstheme="minorHAnsi"/>
          <w:szCs w:val="24"/>
        </w:rPr>
        <w:lastRenderedPageBreak/>
        <w:t>SUBCHAPTER 4</w:t>
      </w:r>
    </w:p>
    <w:p w14:paraId="30C1806E" w14:textId="70C4FB5A" w:rsidR="00FC22AA" w:rsidRPr="006A5B35" w:rsidRDefault="15B997FD" w:rsidP="00AA4079">
      <w:pPr>
        <w:pStyle w:val="Heading2"/>
        <w:rPr>
          <w:rFonts w:asciiTheme="minorHAnsi" w:hAnsiTheme="minorHAnsi" w:cstheme="minorHAnsi"/>
          <w:sz w:val="24"/>
          <w:szCs w:val="24"/>
        </w:rPr>
      </w:pPr>
      <w:r w:rsidRPr="006A5B35">
        <w:rPr>
          <w:rFonts w:asciiTheme="minorHAnsi" w:hAnsiTheme="minorHAnsi" w:cstheme="minorHAnsi"/>
          <w:sz w:val="24"/>
          <w:szCs w:val="24"/>
        </w:rPr>
        <w:t>NONRESIDENTIALAND HOTEL/MOTEL OCCUPANCIES—MANDATORY REQUIREMENTS FOR LIGHTING SYSTEMS AND EQUIPMENT, AND ELECTRICAL POWER DISTRIBUTION SYSTEMS</w:t>
      </w:r>
    </w:p>
    <w:p w14:paraId="6481F516" w14:textId="7C667703" w:rsidR="001E67ED" w:rsidRPr="006A5B35" w:rsidRDefault="18EFB8F5" w:rsidP="15B997FD">
      <w:pPr>
        <w:pStyle w:val="Heading3"/>
        <w:rPr>
          <w:rFonts w:asciiTheme="minorHAnsi" w:hAnsiTheme="minorHAnsi" w:cstheme="minorHAnsi"/>
        </w:rPr>
      </w:pPr>
      <w:r w:rsidRPr="006A5B35">
        <w:rPr>
          <w:rFonts w:asciiTheme="minorHAnsi" w:eastAsia="Calibri Light" w:hAnsiTheme="minorHAnsi" w:cstheme="minorHAnsi"/>
          <w:color w:val="1F3763"/>
        </w:rPr>
        <w:t>SECTION 130.0 – LIGHTING SYSTEMS AND EQUIPMENT, AND ELECTRICAL POWER DISTRIBUTION SYSTEMS —GENERAL</w:t>
      </w:r>
    </w:p>
    <w:p w14:paraId="2FF5DA47" w14:textId="42750044" w:rsidR="001E67ED" w:rsidRPr="006A5B35" w:rsidRDefault="18EFB8F5" w:rsidP="15B997FD">
      <w:pPr>
        <w:spacing w:line="257" w:lineRule="auto"/>
        <w:rPr>
          <w:rFonts w:cstheme="minorHAnsi"/>
          <w:sz w:val="24"/>
          <w:szCs w:val="24"/>
        </w:rPr>
      </w:pPr>
      <w:r w:rsidRPr="006A5B35">
        <w:rPr>
          <w:rFonts w:eastAsia="Calibri" w:cstheme="minorHAnsi"/>
          <w:sz w:val="24"/>
          <w:szCs w:val="24"/>
        </w:rPr>
        <w:t>Subchapter 4 is amended to read as follows:</w:t>
      </w:r>
    </w:p>
    <w:p w14:paraId="3C7CEE87" w14:textId="724FE103" w:rsidR="001E67ED" w:rsidRPr="006A5B35" w:rsidRDefault="18EFB8F5" w:rsidP="15B997FD">
      <w:pPr>
        <w:pStyle w:val="ListParagraph"/>
        <w:numPr>
          <w:ilvl w:val="0"/>
          <w:numId w:val="5"/>
        </w:numPr>
        <w:rPr>
          <w:rFonts w:cstheme="minorHAnsi"/>
          <w:sz w:val="24"/>
          <w:szCs w:val="24"/>
        </w:rPr>
      </w:pPr>
      <w:r w:rsidRPr="006A5B35">
        <w:rPr>
          <w:rFonts w:cstheme="minorHAnsi"/>
          <w:sz w:val="24"/>
          <w:szCs w:val="24"/>
        </w:rPr>
        <w:t xml:space="preserve">The design and installation of all lighting systems and equipment in nonresidential and hotel/motel buildings, outdoor lighting, and electrical power distribution systems within the scope of Section 100.0(a), shall comply with the applicable provisions of Sections 130.0 through </w:t>
      </w:r>
      <w:r w:rsidRPr="006A5B35">
        <w:rPr>
          <w:rFonts w:cstheme="minorHAnsi"/>
          <w:strike/>
          <w:sz w:val="24"/>
          <w:szCs w:val="24"/>
        </w:rPr>
        <w:t>130.5</w:t>
      </w:r>
      <w:r w:rsidRPr="006A5B35">
        <w:rPr>
          <w:rFonts w:cstheme="minorHAnsi"/>
          <w:sz w:val="24"/>
          <w:szCs w:val="24"/>
          <w:u w:val="single"/>
        </w:rPr>
        <w:t>130.6</w:t>
      </w:r>
      <w:r w:rsidRPr="006A5B35">
        <w:rPr>
          <w:rFonts w:cstheme="minorHAnsi"/>
          <w:sz w:val="24"/>
          <w:szCs w:val="24"/>
        </w:rPr>
        <w:t xml:space="preserve">. </w:t>
      </w:r>
    </w:p>
    <w:p w14:paraId="124661A2" w14:textId="45204B4C" w:rsidR="001E67ED" w:rsidRPr="006A5B35" w:rsidRDefault="18EFB8F5" w:rsidP="15B997FD">
      <w:pPr>
        <w:ind w:left="720"/>
        <w:rPr>
          <w:rFonts w:cstheme="minorHAnsi"/>
          <w:sz w:val="24"/>
          <w:szCs w:val="24"/>
        </w:rPr>
      </w:pPr>
      <w:r w:rsidRPr="006A5B35">
        <w:rPr>
          <w:rFonts w:eastAsia="Calibri" w:cstheme="minorHAnsi"/>
          <w:b/>
          <w:bCs/>
          <w:color w:val="000000" w:themeColor="text1"/>
          <w:sz w:val="24"/>
          <w:szCs w:val="24"/>
        </w:rPr>
        <w:t xml:space="preserve">NOTE: </w:t>
      </w:r>
      <w:r w:rsidRPr="006A5B35">
        <w:rPr>
          <w:rFonts w:eastAsia="Calibri" w:cstheme="minorHAnsi"/>
          <w:color w:val="000000" w:themeColor="text1"/>
          <w:sz w:val="24"/>
          <w:szCs w:val="24"/>
        </w:rPr>
        <w:t xml:space="preserve">The requirements of Sections 130.0 through </w:t>
      </w:r>
      <w:r w:rsidRPr="006A5B35">
        <w:rPr>
          <w:rFonts w:eastAsia="Calibri" w:cstheme="minorHAnsi"/>
          <w:strike/>
          <w:color w:val="000000" w:themeColor="text1"/>
          <w:sz w:val="24"/>
          <w:szCs w:val="24"/>
        </w:rPr>
        <w:t>130.5</w:t>
      </w:r>
      <w:r w:rsidRPr="006A5B35">
        <w:rPr>
          <w:rFonts w:eastAsia="Calibri" w:cstheme="minorHAnsi"/>
          <w:color w:val="000000" w:themeColor="text1"/>
          <w:sz w:val="24"/>
          <w:szCs w:val="24"/>
          <w:u w:val="single"/>
        </w:rPr>
        <w:t xml:space="preserve">130.6 </w:t>
      </w:r>
      <w:r w:rsidRPr="006A5B35">
        <w:rPr>
          <w:rFonts w:eastAsia="Calibri" w:cstheme="minorHAnsi"/>
          <w:color w:val="000000" w:themeColor="text1"/>
          <w:sz w:val="24"/>
          <w:szCs w:val="24"/>
        </w:rPr>
        <w:t xml:space="preserve">apply to newly constructed buildings. Section 141.0 specifies which requirements of Sections 130.0 through </w:t>
      </w:r>
      <w:r w:rsidRPr="006A5B35">
        <w:rPr>
          <w:rFonts w:eastAsia="Calibri" w:cstheme="minorHAnsi"/>
          <w:strike/>
          <w:color w:val="000000" w:themeColor="text1"/>
          <w:sz w:val="24"/>
          <w:szCs w:val="24"/>
        </w:rPr>
        <w:t>130.5</w:t>
      </w:r>
      <w:r w:rsidRPr="006A5B35">
        <w:rPr>
          <w:rFonts w:eastAsia="Calibri" w:cstheme="minorHAnsi"/>
          <w:color w:val="000000" w:themeColor="text1"/>
          <w:sz w:val="24"/>
          <w:szCs w:val="24"/>
          <w:u w:val="single"/>
        </w:rPr>
        <w:t xml:space="preserve">130.6 </w:t>
      </w:r>
      <w:r w:rsidRPr="006A5B35">
        <w:rPr>
          <w:rFonts w:eastAsia="Calibri" w:cstheme="minorHAnsi"/>
          <w:color w:val="000000" w:themeColor="text1"/>
          <w:sz w:val="24"/>
          <w:szCs w:val="24"/>
        </w:rPr>
        <w:t>also apply to additions and alterations to existing buildings.</w:t>
      </w:r>
      <w:r w:rsidRPr="006A5B35">
        <w:rPr>
          <w:rFonts w:cstheme="minorHAnsi"/>
          <w:sz w:val="24"/>
          <w:szCs w:val="24"/>
        </w:rPr>
        <w:t xml:space="preserve"> </w:t>
      </w:r>
    </w:p>
    <w:p w14:paraId="6CECB7A6" w14:textId="087F6AC6" w:rsidR="001E67ED" w:rsidRPr="006A5B35" w:rsidRDefault="15B997FD" w:rsidP="001E67ED">
      <w:pPr>
        <w:pStyle w:val="Heading3"/>
        <w:rPr>
          <w:rFonts w:asciiTheme="minorHAnsi" w:hAnsiTheme="minorHAnsi" w:cstheme="minorHAnsi"/>
        </w:rPr>
      </w:pPr>
      <w:r w:rsidRPr="006A5B35">
        <w:rPr>
          <w:rFonts w:asciiTheme="minorHAnsi" w:hAnsiTheme="minorHAnsi" w:cstheme="minorHAnsi"/>
        </w:rPr>
        <w:t>SECTION 130.6 – ELECTRIC READINESS REQUIREMENTS FOR SYSTEMS USING GAS OR PROPANE</w:t>
      </w:r>
    </w:p>
    <w:p w14:paraId="120B7893" w14:textId="557B1FCA" w:rsidR="007A098E" w:rsidRPr="006A5B35" w:rsidRDefault="007A098E" w:rsidP="000F7FA5">
      <w:pPr>
        <w:rPr>
          <w:rFonts w:cstheme="minorHAnsi"/>
          <w:b/>
          <w:sz w:val="24"/>
          <w:szCs w:val="24"/>
        </w:rPr>
      </w:pPr>
      <w:r w:rsidRPr="006A5B35">
        <w:rPr>
          <w:rFonts w:cstheme="minorHAnsi"/>
          <w:sz w:val="24"/>
          <w:szCs w:val="24"/>
        </w:rPr>
        <w:t>Subchapter 4 is amended to add Section 130.6 to be numbered, entitled, and to read as follows:</w:t>
      </w:r>
    </w:p>
    <w:p w14:paraId="308465F1" w14:textId="28AE5D3D" w:rsidR="00790C38" w:rsidRPr="006A5B35" w:rsidRDefault="00790C38" w:rsidP="00790C38">
      <w:pPr>
        <w:pStyle w:val="ListParagraph"/>
        <w:ind w:left="0"/>
        <w:rPr>
          <w:rFonts w:eastAsiaTheme="majorEastAsia" w:cstheme="minorHAnsi"/>
          <w:b/>
          <w:bCs/>
          <w:sz w:val="24"/>
          <w:szCs w:val="24"/>
          <w:u w:val="single"/>
        </w:rPr>
      </w:pPr>
      <w:r w:rsidRPr="006A5B35">
        <w:rPr>
          <w:rFonts w:eastAsiaTheme="majorEastAsia" w:cstheme="minorHAnsi"/>
          <w:b/>
          <w:bCs/>
          <w:sz w:val="24"/>
          <w:szCs w:val="24"/>
          <w:u w:val="single"/>
        </w:rPr>
        <w:t>130.6 Electric</w:t>
      </w:r>
      <w:r w:rsidR="00AA4079" w:rsidRPr="006A5B35">
        <w:rPr>
          <w:rFonts w:eastAsiaTheme="majorEastAsia" w:cstheme="minorHAnsi"/>
          <w:b/>
          <w:bCs/>
          <w:sz w:val="24"/>
          <w:szCs w:val="24"/>
          <w:u w:val="single"/>
        </w:rPr>
        <w:t xml:space="preserve"> </w:t>
      </w:r>
      <w:r w:rsidRPr="006A5B35">
        <w:rPr>
          <w:rFonts w:eastAsiaTheme="majorEastAsia" w:cstheme="minorHAnsi"/>
          <w:b/>
          <w:bCs/>
          <w:sz w:val="24"/>
          <w:szCs w:val="24"/>
          <w:u w:val="single"/>
        </w:rPr>
        <w:t xml:space="preserve">Readiness Requirements for Systems Using Gas or Propane  </w:t>
      </w:r>
    </w:p>
    <w:p w14:paraId="70DA8418" w14:textId="4DDC64BF" w:rsidR="00790C38" w:rsidRPr="006A5B35" w:rsidRDefault="00790C38" w:rsidP="00790C38">
      <w:pPr>
        <w:pStyle w:val="ListParagraph"/>
        <w:ind w:left="0"/>
        <w:rPr>
          <w:rFonts w:eastAsiaTheme="majorEastAsia" w:cstheme="minorHAnsi"/>
          <w:sz w:val="24"/>
          <w:szCs w:val="24"/>
          <w:u w:val="single"/>
        </w:rPr>
      </w:pPr>
      <w:r w:rsidRPr="006A5B35">
        <w:rPr>
          <w:rFonts w:eastAsiaTheme="majorEastAsia" w:cstheme="minorHAnsi"/>
          <w:sz w:val="24"/>
          <w:szCs w:val="24"/>
          <w:u w:val="single"/>
        </w:rPr>
        <w:t xml:space="preserve">Where </w:t>
      </w:r>
      <w:r w:rsidR="004604FB" w:rsidRPr="006A5B35">
        <w:rPr>
          <w:rFonts w:eastAsiaTheme="majorEastAsia" w:cstheme="minorHAnsi"/>
          <w:sz w:val="24"/>
          <w:szCs w:val="24"/>
          <w:u w:val="single"/>
        </w:rPr>
        <w:t xml:space="preserve">nonresidential </w:t>
      </w:r>
      <w:r w:rsidRPr="006A5B35">
        <w:rPr>
          <w:rFonts w:eastAsiaTheme="majorEastAsia" w:cstheme="minorHAnsi"/>
          <w:sz w:val="24"/>
          <w:szCs w:val="24"/>
          <w:u w:val="single"/>
        </w:rPr>
        <w:t>systems using gas or propane are installed, the construction drawings shall indicate electrical infrastructure and physical space accommodating the future installation of an electric heating appliance in the following ways, as certified by a registered design professional or licensed electrical contractor</w:t>
      </w:r>
      <w:r w:rsidR="00607D10" w:rsidRPr="006A5B35">
        <w:rPr>
          <w:rFonts w:eastAsiaTheme="majorEastAsia" w:cstheme="minorHAnsi"/>
          <w:sz w:val="24"/>
          <w:szCs w:val="24"/>
          <w:u w:val="single"/>
        </w:rPr>
        <w:t xml:space="preserve">. </w:t>
      </w:r>
    </w:p>
    <w:p w14:paraId="7AC911F4" w14:textId="77777777" w:rsidR="00790C38" w:rsidRPr="006A5B35" w:rsidRDefault="00790C38" w:rsidP="00790C38">
      <w:pPr>
        <w:pStyle w:val="ListParagraph"/>
        <w:ind w:left="0"/>
        <w:rPr>
          <w:rFonts w:eastAsiaTheme="majorEastAsia" w:cstheme="minorHAnsi"/>
          <w:sz w:val="24"/>
          <w:szCs w:val="24"/>
          <w:u w:val="single"/>
        </w:rPr>
      </w:pPr>
    </w:p>
    <w:p w14:paraId="0A0A8150" w14:textId="76AFBD3B" w:rsidR="00790C38" w:rsidRPr="006A5B35" w:rsidRDefault="00790C38" w:rsidP="00F26CCC">
      <w:pPr>
        <w:pStyle w:val="ListParagraph"/>
        <w:numPr>
          <w:ilvl w:val="0"/>
          <w:numId w:val="14"/>
        </w:numPr>
        <w:rPr>
          <w:rFonts w:eastAsiaTheme="majorEastAsia" w:cstheme="minorHAnsi"/>
          <w:sz w:val="24"/>
          <w:szCs w:val="24"/>
          <w:u w:val="single"/>
        </w:rPr>
      </w:pPr>
      <w:r w:rsidRPr="006A5B35">
        <w:rPr>
          <w:rFonts w:eastAsiaTheme="majorEastAsia" w:cstheme="minorHAnsi"/>
          <w:sz w:val="24"/>
          <w:szCs w:val="24"/>
          <w:u w:val="single"/>
        </w:rPr>
        <w:t xml:space="preserve">Branch circuit wiring, electrically isolated and designed to serve all electric heating appliances in accordance with manufacturer requirements and the California Electrical Code, including the appropriate voltage, phase, minimum amperage, and an electrical receptacle or junction box within five feet of the appliance that is accessible with no obstructions. Appropriately sized conduit may be installed in lieu of conductors; and </w:t>
      </w:r>
    </w:p>
    <w:p w14:paraId="500F7F73" w14:textId="77777777" w:rsidR="00790C38" w:rsidRPr="006A5B35" w:rsidRDefault="00790C38" w:rsidP="00315FE2">
      <w:pPr>
        <w:pStyle w:val="ListParagraph"/>
        <w:numPr>
          <w:ilvl w:val="0"/>
          <w:numId w:val="14"/>
        </w:numPr>
        <w:rPr>
          <w:rFonts w:eastAsiaTheme="majorEastAsia" w:cstheme="minorHAnsi"/>
          <w:sz w:val="24"/>
          <w:szCs w:val="24"/>
          <w:u w:val="single"/>
        </w:rPr>
      </w:pPr>
      <w:r w:rsidRPr="006A5B35">
        <w:rPr>
          <w:rFonts w:eastAsiaTheme="majorEastAsia" w:cstheme="minorHAnsi"/>
          <w:sz w:val="24"/>
          <w:szCs w:val="24"/>
          <w:u w:val="single"/>
        </w:rPr>
        <w:t>Labeling of both ends of the unused conductors or conduit shall be with “For Future Electrical Appliance”; and</w:t>
      </w:r>
    </w:p>
    <w:p w14:paraId="7D99511D" w14:textId="77777777" w:rsidR="00790C38" w:rsidRPr="006A5B35" w:rsidRDefault="00790C38" w:rsidP="00315FE2">
      <w:pPr>
        <w:pStyle w:val="ListParagraph"/>
        <w:numPr>
          <w:ilvl w:val="0"/>
          <w:numId w:val="14"/>
        </w:numPr>
        <w:rPr>
          <w:rFonts w:eastAsiaTheme="majorEastAsia" w:cstheme="minorHAnsi"/>
          <w:sz w:val="24"/>
          <w:szCs w:val="24"/>
          <w:u w:val="single"/>
        </w:rPr>
      </w:pPr>
      <w:r w:rsidRPr="006A5B35">
        <w:rPr>
          <w:rFonts w:eastAsiaTheme="majorEastAsia" w:cstheme="minorHAnsi"/>
          <w:sz w:val="24"/>
          <w:szCs w:val="24"/>
          <w:u w:val="single"/>
        </w:rPr>
        <w:t>Reserved circuit breakers in the electrical panel for each branch circuit, appropriately labeled (e.g. “Reserved for Future Electric Range”), and positioned on the opposite end of the panel supply conductor connection; and</w:t>
      </w:r>
    </w:p>
    <w:p w14:paraId="7DC9CCC7" w14:textId="77777777" w:rsidR="00790C38" w:rsidRPr="006A5B35" w:rsidRDefault="00790C38" w:rsidP="00315FE2">
      <w:pPr>
        <w:pStyle w:val="ListParagraph"/>
        <w:numPr>
          <w:ilvl w:val="0"/>
          <w:numId w:val="14"/>
        </w:numPr>
        <w:rPr>
          <w:rFonts w:eastAsiaTheme="majorEastAsia" w:cstheme="minorHAnsi"/>
          <w:sz w:val="24"/>
          <w:szCs w:val="24"/>
          <w:u w:val="single"/>
        </w:rPr>
      </w:pPr>
      <w:r w:rsidRPr="006A5B35">
        <w:rPr>
          <w:rFonts w:eastAsiaTheme="majorEastAsia" w:cstheme="minorHAnsi"/>
          <w:sz w:val="24"/>
          <w:szCs w:val="24"/>
          <w:u w:val="single"/>
        </w:rPr>
        <w:t xml:space="preserve">Connected subpanels, panelboards, switchboards, busbars, and transformers shall be sized to serve the future electric heating appliances. The electrical capacity requirements shall be adjusted for demand factors in accordance with the California Electric Code; and </w:t>
      </w:r>
    </w:p>
    <w:p w14:paraId="07DF700F" w14:textId="6D6A810D" w:rsidR="00C128F3" w:rsidRPr="006A5B35" w:rsidRDefault="18EFB8F5" w:rsidP="18EFB8F5">
      <w:pPr>
        <w:pStyle w:val="ListParagraph"/>
        <w:numPr>
          <w:ilvl w:val="0"/>
          <w:numId w:val="14"/>
        </w:numPr>
        <w:rPr>
          <w:rFonts w:cstheme="minorHAnsi"/>
          <w:sz w:val="24"/>
          <w:szCs w:val="24"/>
          <w:u w:val="single"/>
        </w:rPr>
      </w:pPr>
      <w:r w:rsidRPr="006A5B35">
        <w:rPr>
          <w:rFonts w:eastAsiaTheme="majorEastAsia" w:cstheme="minorHAnsi"/>
          <w:sz w:val="24"/>
          <w:szCs w:val="24"/>
          <w:u w:val="single"/>
        </w:rPr>
        <w:t xml:space="preserve">Physical space for future electric heating appliances, including equipment footprint, and if needed a pathway reserved for routing of ductwork to heat pump evaporator(s), shall </w:t>
      </w:r>
      <w:r w:rsidRPr="006A5B35">
        <w:rPr>
          <w:rFonts w:eastAsiaTheme="majorEastAsia" w:cstheme="minorHAnsi"/>
          <w:sz w:val="24"/>
          <w:szCs w:val="24"/>
          <w:u w:val="single"/>
        </w:rPr>
        <w:lastRenderedPageBreak/>
        <w:t>be depicted on the construction drawings. The footprint necessary for future electric heating appliances may overlap with non-structural partitions and with the location of currently designed combustion equipment.</w:t>
      </w:r>
    </w:p>
    <w:p w14:paraId="5CC31D1E" w14:textId="77777777" w:rsidR="00BA06E6" w:rsidRPr="006A5B35" w:rsidRDefault="00BA06E6">
      <w:pPr>
        <w:rPr>
          <w:rFonts w:eastAsiaTheme="majorEastAsia" w:cstheme="minorHAnsi"/>
          <w:color w:val="2F5496" w:themeColor="accent1" w:themeShade="BF"/>
          <w:sz w:val="24"/>
          <w:szCs w:val="24"/>
        </w:rPr>
      </w:pPr>
      <w:r w:rsidRPr="006A5B35">
        <w:rPr>
          <w:rFonts w:cstheme="minorHAnsi"/>
          <w:sz w:val="24"/>
          <w:szCs w:val="24"/>
        </w:rPr>
        <w:br w:type="page"/>
      </w:r>
    </w:p>
    <w:p w14:paraId="49F76BDC" w14:textId="6BACBC5D" w:rsidR="00772636" w:rsidRPr="006A5B35" w:rsidRDefault="00772636" w:rsidP="00111456">
      <w:pPr>
        <w:pStyle w:val="Heading1"/>
        <w:rPr>
          <w:rFonts w:asciiTheme="minorHAnsi" w:hAnsiTheme="minorHAnsi" w:cstheme="minorHAnsi"/>
          <w:szCs w:val="24"/>
        </w:rPr>
      </w:pPr>
      <w:r w:rsidRPr="006A5B35">
        <w:rPr>
          <w:rFonts w:asciiTheme="minorHAnsi" w:hAnsiTheme="minorHAnsi" w:cstheme="minorHAnsi"/>
          <w:szCs w:val="24"/>
        </w:rPr>
        <w:lastRenderedPageBreak/>
        <w:t>SUBCHAPTER 5</w:t>
      </w:r>
    </w:p>
    <w:p w14:paraId="1877D07E" w14:textId="1F8A642A" w:rsidR="006E4DD6" w:rsidRPr="006A5B35" w:rsidRDefault="00772636" w:rsidP="00111456">
      <w:pPr>
        <w:pStyle w:val="Heading2"/>
        <w:rPr>
          <w:rFonts w:asciiTheme="minorHAnsi" w:hAnsiTheme="minorHAnsi" w:cstheme="minorHAnsi"/>
          <w:sz w:val="24"/>
          <w:szCs w:val="24"/>
        </w:rPr>
      </w:pPr>
      <w:r w:rsidRPr="006A5B35">
        <w:rPr>
          <w:rFonts w:asciiTheme="minorHAnsi" w:hAnsiTheme="minorHAnsi" w:cstheme="minorHAnsi"/>
          <w:sz w:val="24"/>
          <w:szCs w:val="24"/>
        </w:rPr>
        <w:t>NONRESIDENTIALAND HOTEL/MOTEL OCCUPANCIES—PERFORMANCE AND PRESCRIPTIVE COMPLIANCE APPROACHES FOR ACHIEVING ENERGY EFFICIENCY</w:t>
      </w:r>
    </w:p>
    <w:p w14:paraId="13AAC5C9" w14:textId="77777777" w:rsidR="00812654" w:rsidRPr="006A5B35" w:rsidRDefault="00E02A03" w:rsidP="001438D4">
      <w:pPr>
        <w:pStyle w:val="Heading3"/>
        <w:rPr>
          <w:rFonts w:asciiTheme="minorHAnsi" w:hAnsiTheme="minorHAnsi" w:cstheme="minorHAnsi"/>
        </w:rPr>
      </w:pPr>
      <w:r w:rsidRPr="006A5B35">
        <w:rPr>
          <w:rFonts w:asciiTheme="minorHAnsi" w:hAnsiTheme="minorHAnsi" w:cstheme="minorHAnsi"/>
        </w:rPr>
        <w:t xml:space="preserve">SECTION 140.0 – PERFORMANCE AND PRESCRIPTIVE COMPLIANCE APPROACHES </w:t>
      </w:r>
    </w:p>
    <w:p w14:paraId="22C19AEA" w14:textId="1DDF3D18" w:rsidR="006E4DD6" w:rsidRPr="006A5B35" w:rsidRDefault="15B997FD" w:rsidP="0049345A">
      <w:pPr>
        <w:rPr>
          <w:rFonts w:cstheme="minorHAnsi"/>
          <w:sz w:val="24"/>
          <w:szCs w:val="24"/>
        </w:rPr>
      </w:pPr>
      <w:r w:rsidRPr="006A5B35">
        <w:rPr>
          <w:rFonts w:cstheme="minorHAnsi"/>
          <w:sz w:val="24"/>
          <w:szCs w:val="24"/>
        </w:rPr>
        <w:t>Section 140.0 is amended to read as follows:</w:t>
      </w:r>
    </w:p>
    <w:p w14:paraId="290EB56C" w14:textId="3EAD3320" w:rsidR="15B997FD" w:rsidRPr="006A5B35" w:rsidRDefault="18EFB8F5" w:rsidP="15B997FD">
      <w:pPr>
        <w:spacing w:line="257" w:lineRule="auto"/>
        <w:rPr>
          <w:rFonts w:cstheme="minorHAnsi"/>
          <w:sz w:val="24"/>
          <w:szCs w:val="24"/>
        </w:rPr>
      </w:pPr>
      <w:r w:rsidRPr="006A5B35">
        <w:rPr>
          <w:rFonts w:cstheme="minorHAnsi"/>
          <w:sz w:val="24"/>
          <w:szCs w:val="24"/>
        </w:rPr>
        <w:t xml:space="preserve">Nonresidential and hotel/motel buildings shall comply with </w:t>
      </w:r>
      <w:proofErr w:type="gramStart"/>
      <w:r w:rsidRPr="006A5B35">
        <w:rPr>
          <w:rFonts w:cstheme="minorHAnsi"/>
          <w:sz w:val="24"/>
          <w:szCs w:val="24"/>
        </w:rPr>
        <w:t>all of</w:t>
      </w:r>
      <w:proofErr w:type="gramEnd"/>
      <w:r w:rsidRPr="006A5B35">
        <w:rPr>
          <w:rFonts w:cstheme="minorHAnsi"/>
          <w:sz w:val="24"/>
          <w:szCs w:val="24"/>
        </w:rPr>
        <w:t xml:space="preserve"> the following:</w:t>
      </w:r>
    </w:p>
    <w:p w14:paraId="7860D427" w14:textId="77777777" w:rsidR="006E4DD6" w:rsidRPr="006A5B35" w:rsidRDefault="006E4DD6" w:rsidP="00111456">
      <w:pPr>
        <w:pStyle w:val="ListParagraph"/>
        <w:numPr>
          <w:ilvl w:val="0"/>
          <w:numId w:val="18"/>
        </w:numPr>
        <w:rPr>
          <w:rFonts w:cstheme="minorHAnsi"/>
          <w:sz w:val="24"/>
          <w:szCs w:val="24"/>
        </w:rPr>
      </w:pPr>
      <w:r w:rsidRPr="006A5B35">
        <w:rPr>
          <w:rFonts w:cstheme="minorHAnsi"/>
          <w:sz w:val="24"/>
          <w:szCs w:val="24"/>
        </w:rPr>
        <w:t>The requirements of Sections 100.0 through 110.12 applicable to the building project (mandatory measures for all buildings).</w:t>
      </w:r>
    </w:p>
    <w:p w14:paraId="35B7D182" w14:textId="58DF4834" w:rsidR="006E4DD6" w:rsidRPr="006A5B35" w:rsidRDefault="006E4DD6" w:rsidP="00111456">
      <w:pPr>
        <w:pStyle w:val="ListParagraph"/>
        <w:numPr>
          <w:ilvl w:val="0"/>
          <w:numId w:val="18"/>
        </w:numPr>
        <w:rPr>
          <w:rFonts w:cstheme="minorHAnsi"/>
          <w:sz w:val="24"/>
          <w:szCs w:val="24"/>
        </w:rPr>
      </w:pPr>
      <w:r w:rsidRPr="006A5B35">
        <w:rPr>
          <w:rFonts w:cstheme="minorHAnsi"/>
          <w:sz w:val="24"/>
          <w:szCs w:val="24"/>
        </w:rPr>
        <w:t>The requirements of Sections 120.0 through 130.</w:t>
      </w:r>
      <w:r w:rsidR="003C4A4E" w:rsidRPr="006A5B35">
        <w:rPr>
          <w:rFonts w:cstheme="minorHAnsi"/>
          <w:strike/>
          <w:sz w:val="24"/>
          <w:szCs w:val="24"/>
        </w:rPr>
        <w:t>5</w:t>
      </w:r>
      <w:r w:rsidRPr="006A5B35">
        <w:rPr>
          <w:rFonts w:cstheme="minorHAnsi"/>
          <w:sz w:val="24"/>
          <w:szCs w:val="24"/>
          <w:u w:val="single"/>
        </w:rPr>
        <w:t>6</w:t>
      </w:r>
      <w:r w:rsidRPr="006A5B35">
        <w:rPr>
          <w:rFonts w:cstheme="minorHAnsi"/>
          <w:sz w:val="24"/>
          <w:szCs w:val="24"/>
        </w:rPr>
        <w:t xml:space="preserve"> (mandatory measures for nonresidential and high-rise residential and hotel/motel buildings).</w:t>
      </w:r>
    </w:p>
    <w:p w14:paraId="67ED2D15" w14:textId="6744EBAD" w:rsidR="006E4DD6" w:rsidRPr="006A5B35" w:rsidRDefault="006E4DD6" w:rsidP="00111456">
      <w:pPr>
        <w:pStyle w:val="ListParagraph"/>
        <w:numPr>
          <w:ilvl w:val="0"/>
          <w:numId w:val="18"/>
        </w:numPr>
        <w:rPr>
          <w:rFonts w:cstheme="minorHAnsi"/>
          <w:sz w:val="24"/>
          <w:szCs w:val="24"/>
        </w:rPr>
      </w:pPr>
      <w:r w:rsidRPr="006A5B35">
        <w:rPr>
          <w:rFonts w:cstheme="minorHAnsi"/>
          <w:sz w:val="24"/>
          <w:szCs w:val="24"/>
        </w:rPr>
        <w:t xml:space="preserve">Either the performance compliance approach (energy budgets) specified in Section </w:t>
      </w:r>
      <w:proofErr w:type="gramStart"/>
      <w:r w:rsidRPr="006A5B35">
        <w:rPr>
          <w:rFonts w:cstheme="minorHAnsi"/>
          <w:sz w:val="24"/>
          <w:szCs w:val="24"/>
        </w:rPr>
        <w:t>140</w:t>
      </w:r>
      <w:r w:rsidR="007B0243" w:rsidRPr="006A5B35">
        <w:rPr>
          <w:rFonts w:cstheme="minorHAnsi"/>
          <w:sz w:val="24"/>
          <w:szCs w:val="24"/>
        </w:rPr>
        <w:t>.</w:t>
      </w:r>
      <w:r w:rsidRPr="006A5B35">
        <w:rPr>
          <w:rFonts w:cstheme="minorHAnsi"/>
          <w:sz w:val="24"/>
          <w:szCs w:val="24"/>
        </w:rPr>
        <w:t>1</w:t>
      </w:r>
      <w:proofErr w:type="gramEnd"/>
      <w:r w:rsidRPr="006A5B35">
        <w:rPr>
          <w:rFonts w:cstheme="minorHAnsi"/>
          <w:sz w:val="24"/>
          <w:szCs w:val="24"/>
        </w:rPr>
        <w:t xml:space="preserve"> or the prescriptive compliance approach specified in Section 140.2 for the Climate Zone in which the building will be located.  Climate zones are shown in FIGURE 100.1-A.</w:t>
      </w:r>
    </w:p>
    <w:p w14:paraId="10E77C10" w14:textId="77777777" w:rsidR="006E4DD6" w:rsidRPr="006A5B35" w:rsidRDefault="006E4DD6" w:rsidP="00111456">
      <w:pPr>
        <w:pStyle w:val="ListParagraph"/>
        <w:rPr>
          <w:rFonts w:cstheme="minorHAnsi"/>
          <w:sz w:val="24"/>
          <w:szCs w:val="24"/>
        </w:rPr>
      </w:pPr>
      <w:r w:rsidRPr="006A5B35">
        <w:rPr>
          <w:rFonts w:cstheme="minorHAnsi"/>
          <w:sz w:val="24"/>
          <w:szCs w:val="24"/>
        </w:rPr>
        <w:t>NOTE to Section 140.0(c):  The Commission periodically updates, publishes and makes available to interested persons and local enforcement agencies precise descriptions of the Climate Zones, which is available by zip code boundaries depicted in the Reference Joint Appendices along with a list of the communities in each zone.</w:t>
      </w:r>
    </w:p>
    <w:p w14:paraId="1B8F27D7" w14:textId="77777777" w:rsidR="006E4DD6" w:rsidRPr="006A5B35" w:rsidRDefault="006E4DD6" w:rsidP="006E4DD6">
      <w:pPr>
        <w:pStyle w:val="RCSectionHead"/>
        <w:rPr>
          <w:rFonts w:asciiTheme="minorHAnsi" w:hAnsiTheme="minorHAnsi" w:cstheme="minorHAnsi"/>
          <w:b w:val="0"/>
        </w:rPr>
      </w:pPr>
      <w:r w:rsidRPr="006A5B35">
        <w:rPr>
          <w:rFonts w:asciiTheme="minorHAnsi" w:hAnsiTheme="minorHAnsi" w:cstheme="minorHAnsi"/>
          <w:b w:val="0"/>
        </w:rPr>
        <w:t xml:space="preserve">NOTE to Section 140.0:  The requirements of Sections 140.1 through 140.9 apply to newly constructed buildings.  Section 141.0 specifies which requirements of Section 140.1 through 140.9 also apply to additions or alterations to existing buildings.    </w:t>
      </w:r>
    </w:p>
    <w:p w14:paraId="49FAB4BE" w14:textId="77777777" w:rsidR="006E4DD6" w:rsidRPr="006A5B35" w:rsidRDefault="006E4DD6" w:rsidP="006E4DD6">
      <w:pPr>
        <w:rPr>
          <w:rFonts w:cstheme="minorHAnsi"/>
          <w:sz w:val="24"/>
          <w:szCs w:val="24"/>
        </w:rPr>
      </w:pPr>
    </w:p>
    <w:p w14:paraId="21DA9511" w14:textId="59BD3619" w:rsidR="00C128F3" w:rsidRPr="006A5B35" w:rsidRDefault="0014306A" w:rsidP="0014306A">
      <w:pPr>
        <w:pStyle w:val="Heading3"/>
        <w:rPr>
          <w:rFonts w:asciiTheme="minorHAnsi" w:hAnsiTheme="minorHAnsi" w:cstheme="minorHAnsi"/>
        </w:rPr>
      </w:pPr>
      <w:r w:rsidRPr="006A5B35">
        <w:rPr>
          <w:rFonts w:asciiTheme="minorHAnsi" w:hAnsiTheme="minorHAnsi" w:cstheme="minorHAnsi"/>
        </w:rPr>
        <w:t xml:space="preserve">SECTION </w:t>
      </w:r>
      <w:r w:rsidR="00C128F3" w:rsidRPr="006A5B35">
        <w:rPr>
          <w:rFonts w:asciiTheme="minorHAnsi" w:hAnsiTheme="minorHAnsi" w:cstheme="minorHAnsi"/>
        </w:rPr>
        <w:t xml:space="preserve">140.1 - </w:t>
      </w:r>
      <w:r w:rsidR="00F44E57" w:rsidRPr="006A5B35">
        <w:rPr>
          <w:rFonts w:asciiTheme="minorHAnsi" w:hAnsiTheme="minorHAnsi" w:cstheme="minorHAnsi"/>
        </w:rPr>
        <w:t>PERFORMANCE APPROACH: ENERGY BUDGETS</w:t>
      </w:r>
    </w:p>
    <w:p w14:paraId="599567B2" w14:textId="45253FC7" w:rsidR="00C128F3" w:rsidRPr="006A5B35" w:rsidRDefault="15B997FD" w:rsidP="00593802">
      <w:pPr>
        <w:rPr>
          <w:rFonts w:cstheme="minorHAnsi"/>
          <w:sz w:val="24"/>
          <w:szCs w:val="24"/>
        </w:rPr>
      </w:pPr>
      <w:r w:rsidRPr="006A5B35">
        <w:rPr>
          <w:rFonts w:cstheme="minorHAnsi"/>
          <w:sz w:val="24"/>
          <w:szCs w:val="24"/>
        </w:rPr>
        <w:t>Section 140.1 is amended to read as follows:</w:t>
      </w:r>
    </w:p>
    <w:p w14:paraId="21889CF3" w14:textId="4F4333B1" w:rsidR="15B997FD" w:rsidRPr="006A5B35" w:rsidRDefault="18EFB8F5">
      <w:pPr>
        <w:rPr>
          <w:rFonts w:cstheme="minorHAnsi"/>
          <w:sz w:val="24"/>
          <w:szCs w:val="24"/>
        </w:rPr>
      </w:pPr>
      <w:r w:rsidRPr="006A5B35">
        <w:rPr>
          <w:rFonts w:cstheme="minorHAnsi"/>
          <w:sz w:val="24"/>
          <w:szCs w:val="24"/>
        </w:rPr>
        <w:t>A</w:t>
      </w:r>
      <w:r w:rsidRPr="006A5B35">
        <w:rPr>
          <w:rFonts w:eastAsia="Calibri" w:cstheme="minorHAnsi"/>
          <w:sz w:val="24"/>
          <w:szCs w:val="24"/>
        </w:rPr>
        <w:t xml:space="preserve"> building </w:t>
      </w:r>
      <w:r w:rsidRPr="006A5B35">
        <w:rPr>
          <w:rFonts w:cstheme="minorHAnsi"/>
          <w:sz w:val="24"/>
          <w:szCs w:val="24"/>
        </w:rPr>
        <w:t xml:space="preserve">complies with the performance approach </w:t>
      </w:r>
      <w:r w:rsidRPr="006A5B35">
        <w:rPr>
          <w:rFonts w:cstheme="minorHAnsi"/>
          <w:strike/>
          <w:sz w:val="24"/>
          <w:szCs w:val="24"/>
        </w:rPr>
        <w:t>if</w:t>
      </w:r>
      <w:r w:rsidRPr="006A5B35">
        <w:rPr>
          <w:rFonts w:cstheme="minorHAnsi"/>
          <w:sz w:val="24"/>
          <w:szCs w:val="24"/>
        </w:rPr>
        <w:t xml:space="preserve"> </w:t>
      </w:r>
      <w:r w:rsidRPr="006A5B35">
        <w:rPr>
          <w:rFonts w:eastAsia="Calibri" w:cstheme="minorHAnsi"/>
          <w:sz w:val="24"/>
          <w:szCs w:val="24"/>
          <w:u w:val="single"/>
        </w:rPr>
        <w:t>provided that:</w:t>
      </w:r>
    </w:p>
    <w:p w14:paraId="2E014612" w14:textId="19FBB33E" w:rsidR="15B997FD" w:rsidRPr="006A5B35" w:rsidRDefault="18EFB8F5" w:rsidP="15B997FD">
      <w:pPr>
        <w:pStyle w:val="ListParagraph"/>
        <w:numPr>
          <w:ilvl w:val="0"/>
          <w:numId w:val="4"/>
        </w:numPr>
        <w:rPr>
          <w:rFonts w:eastAsia="Calibri" w:cstheme="minorHAnsi"/>
          <w:sz w:val="24"/>
          <w:szCs w:val="24"/>
          <w:u w:val="single"/>
        </w:rPr>
      </w:pPr>
      <w:r w:rsidRPr="006A5B35">
        <w:rPr>
          <w:rFonts w:eastAsia="Calibri" w:cstheme="minorHAnsi"/>
          <w:sz w:val="24"/>
          <w:szCs w:val="24"/>
          <w:u w:val="single"/>
        </w:rPr>
        <w:t>The time-dependent valuation (</w:t>
      </w:r>
      <w:r w:rsidRPr="006A5B35">
        <w:rPr>
          <w:rFonts w:cstheme="minorHAnsi"/>
          <w:sz w:val="24"/>
          <w:szCs w:val="24"/>
          <w:u w:val="single"/>
        </w:rPr>
        <w:t>TDV</w:t>
      </w:r>
      <w:r w:rsidRPr="006A5B35">
        <w:rPr>
          <w:rFonts w:eastAsia="Calibri" w:cstheme="minorHAnsi"/>
          <w:sz w:val="24"/>
          <w:szCs w:val="24"/>
          <w:u w:val="single"/>
        </w:rPr>
        <w:t xml:space="preserve">) </w:t>
      </w:r>
      <w:r w:rsidRPr="006A5B35">
        <w:rPr>
          <w:rFonts w:eastAsia="Calibri" w:cstheme="minorHAnsi"/>
          <w:sz w:val="24"/>
          <w:szCs w:val="24"/>
        </w:rPr>
        <w:t xml:space="preserve">energy budget </w:t>
      </w:r>
      <w:r w:rsidRPr="006A5B35">
        <w:rPr>
          <w:rFonts w:cstheme="minorHAnsi"/>
          <w:sz w:val="24"/>
          <w:szCs w:val="24"/>
        </w:rPr>
        <w:t>calculated for the</w:t>
      </w:r>
      <w:r w:rsidRPr="006A5B35">
        <w:rPr>
          <w:rFonts w:eastAsia="Calibri" w:cstheme="minorHAnsi"/>
          <w:sz w:val="24"/>
          <w:szCs w:val="24"/>
        </w:rPr>
        <w:t xml:space="preserve"> Proposed Design Building </w:t>
      </w:r>
      <w:r w:rsidRPr="006A5B35">
        <w:rPr>
          <w:rFonts w:cstheme="minorHAnsi"/>
          <w:sz w:val="24"/>
          <w:szCs w:val="24"/>
        </w:rPr>
        <w:t>under Subsection (b) is no greater than</w:t>
      </w:r>
      <w:r w:rsidRPr="006A5B35">
        <w:rPr>
          <w:rFonts w:cstheme="minorHAnsi"/>
          <w:sz w:val="24"/>
          <w:szCs w:val="24"/>
          <w:u w:val="single"/>
        </w:rPr>
        <w:t xml:space="preserve"> the TDV </w:t>
      </w:r>
      <w:r w:rsidRPr="006A5B35">
        <w:rPr>
          <w:rFonts w:cstheme="minorHAnsi"/>
          <w:sz w:val="24"/>
          <w:szCs w:val="24"/>
        </w:rPr>
        <w:t>energy budget calculated for the</w:t>
      </w:r>
      <w:r w:rsidRPr="006A5B35">
        <w:rPr>
          <w:rFonts w:eastAsia="Calibri" w:cstheme="minorHAnsi"/>
          <w:sz w:val="24"/>
          <w:szCs w:val="24"/>
        </w:rPr>
        <w:t xml:space="preserve"> Standard Design Building </w:t>
      </w:r>
      <w:r w:rsidRPr="006A5B35">
        <w:rPr>
          <w:rFonts w:cstheme="minorHAnsi"/>
          <w:sz w:val="24"/>
          <w:szCs w:val="24"/>
        </w:rPr>
        <w:t>under Subsection (a</w:t>
      </w:r>
      <w:r w:rsidRPr="006A5B35">
        <w:rPr>
          <w:rFonts w:eastAsia="Calibri" w:cstheme="minorHAnsi"/>
          <w:sz w:val="24"/>
          <w:szCs w:val="24"/>
        </w:rPr>
        <w:t>)</w:t>
      </w:r>
      <w:r w:rsidRPr="006A5B35">
        <w:rPr>
          <w:rFonts w:eastAsia="Calibri" w:cstheme="minorHAnsi"/>
          <w:sz w:val="24"/>
          <w:szCs w:val="24"/>
          <w:u w:val="single"/>
        </w:rPr>
        <w:t>, and</w:t>
      </w:r>
    </w:p>
    <w:p w14:paraId="24455C12" w14:textId="5275B779" w:rsidR="000B2295" w:rsidRPr="006A5B35" w:rsidRDefault="18EFB8F5" w:rsidP="18EFB8F5">
      <w:pPr>
        <w:pStyle w:val="ListParagraph"/>
        <w:numPr>
          <w:ilvl w:val="0"/>
          <w:numId w:val="4"/>
        </w:numPr>
        <w:rPr>
          <w:rFonts w:cstheme="minorHAnsi"/>
          <w:sz w:val="24"/>
          <w:szCs w:val="24"/>
          <w:u w:val="single"/>
          <w:lang w:bidi="en-US"/>
        </w:rPr>
      </w:pPr>
      <w:r w:rsidRPr="006A5B35">
        <w:rPr>
          <w:rFonts w:eastAsia="Calibri" w:cstheme="minorHAnsi"/>
          <w:sz w:val="24"/>
          <w:szCs w:val="24"/>
          <w:u w:val="single"/>
        </w:rPr>
        <w:t xml:space="preserve">The source energy </w:t>
      </w:r>
      <w:r w:rsidRPr="006A5B35">
        <w:rPr>
          <w:rFonts w:cstheme="minorHAnsi"/>
          <w:sz w:val="24"/>
          <w:szCs w:val="24"/>
          <w:u w:val="single"/>
        </w:rPr>
        <w:t>budget calculated for the proposed design building under Subsection (b)</w:t>
      </w:r>
      <w:r w:rsidRPr="006A5B35">
        <w:rPr>
          <w:rFonts w:cstheme="minorHAnsi"/>
          <w:sz w:val="24"/>
          <w:szCs w:val="24"/>
        </w:rPr>
        <w:t xml:space="preserve"> </w:t>
      </w:r>
      <w:r w:rsidRPr="006A5B35">
        <w:rPr>
          <w:rFonts w:cstheme="minorHAnsi"/>
          <w:sz w:val="24"/>
          <w:szCs w:val="24"/>
          <w:u w:val="single"/>
        </w:rPr>
        <w:t>has a source energy compliance margin,</w:t>
      </w:r>
      <w:r w:rsidRPr="006A5B35">
        <w:rPr>
          <w:rFonts w:eastAsia="Calibri" w:cstheme="minorHAnsi"/>
          <w:sz w:val="24"/>
          <w:szCs w:val="24"/>
          <w:u w:val="single"/>
        </w:rPr>
        <w:t xml:space="preserve"> </w:t>
      </w:r>
      <w:r w:rsidRPr="006A5B35">
        <w:rPr>
          <w:rFonts w:cstheme="minorHAnsi"/>
          <w:sz w:val="24"/>
          <w:szCs w:val="24"/>
          <w:u w:val="single"/>
        </w:rPr>
        <w:t xml:space="preserve">relative to the energy budget calculated for the standard design building under Subsection (a), of at least </w:t>
      </w:r>
      <w:commentRangeStart w:id="1"/>
      <w:r w:rsidR="0005337B" w:rsidRPr="006A5B35">
        <w:rPr>
          <w:rFonts w:eastAsia="Calibri" w:cstheme="minorHAnsi"/>
          <w:sz w:val="24"/>
          <w:szCs w:val="24"/>
          <w:u w:val="single"/>
        </w:rPr>
        <w:t>&lt;x percent&gt;</w:t>
      </w:r>
      <w:commentRangeEnd w:id="1"/>
      <w:r w:rsidR="0005337B" w:rsidRPr="006A5B35">
        <w:rPr>
          <w:rStyle w:val="CommentReference"/>
          <w:rFonts w:cstheme="minorHAnsi"/>
          <w:sz w:val="24"/>
          <w:szCs w:val="24"/>
        </w:rPr>
        <w:commentReference w:id="1"/>
      </w:r>
      <w:r w:rsidRPr="006A5B35">
        <w:rPr>
          <w:rFonts w:cstheme="minorHAnsi"/>
          <w:sz w:val="24"/>
          <w:szCs w:val="24"/>
          <w:u w:val="single"/>
        </w:rPr>
        <w:t xml:space="preserve">for </w:t>
      </w:r>
      <w:r w:rsidRPr="006A5B35">
        <w:rPr>
          <w:rFonts w:eastAsia="Calibri" w:cstheme="minorHAnsi"/>
          <w:sz w:val="24"/>
          <w:szCs w:val="24"/>
          <w:u w:val="single"/>
        </w:rPr>
        <w:t>all nonresidential occupancies.</w:t>
      </w:r>
    </w:p>
    <w:p w14:paraId="4D200A75" w14:textId="485B9EF7" w:rsidR="15B997FD" w:rsidRPr="006A5B35" w:rsidRDefault="18EFB8F5" w:rsidP="18EFB8F5">
      <w:pPr>
        <w:rPr>
          <w:rFonts w:eastAsia="Times New Roman" w:cstheme="minorHAnsi"/>
          <w:sz w:val="24"/>
          <w:szCs w:val="24"/>
          <w:u w:val="single"/>
          <w:lang w:bidi="en-US"/>
        </w:rPr>
      </w:pPr>
      <w:r w:rsidRPr="006A5B35">
        <w:rPr>
          <w:rFonts w:cstheme="minorHAnsi"/>
          <w:b/>
          <w:bCs/>
          <w:sz w:val="24"/>
          <w:szCs w:val="24"/>
          <w:u w:val="single"/>
        </w:rPr>
        <w:t xml:space="preserve">EXCEPTION 1 to </w:t>
      </w:r>
      <w:r w:rsidRPr="006A5B35">
        <w:rPr>
          <w:rFonts w:eastAsia="Calibri" w:cstheme="minorHAnsi"/>
          <w:b/>
          <w:bCs/>
          <w:sz w:val="24"/>
          <w:szCs w:val="24"/>
          <w:u w:val="single"/>
        </w:rPr>
        <w:t xml:space="preserve">140.1 item 2 </w:t>
      </w:r>
      <w:r w:rsidRPr="006A5B35">
        <w:rPr>
          <w:rFonts w:eastAsia="Calibri" w:cstheme="minorHAnsi"/>
          <w:sz w:val="24"/>
          <w:szCs w:val="24"/>
          <w:u w:val="single"/>
        </w:rPr>
        <w:t xml:space="preserve">A source energy compliance margin of </w:t>
      </w:r>
      <w:r w:rsidR="00AB4A4B" w:rsidRPr="006A5B35">
        <w:rPr>
          <w:rFonts w:eastAsia="Calibri" w:cstheme="minorHAnsi"/>
          <w:sz w:val="24"/>
          <w:szCs w:val="24"/>
          <w:u w:val="single"/>
        </w:rPr>
        <w:t xml:space="preserve">0 percent or greater </w:t>
      </w:r>
      <w:r w:rsidRPr="006A5B35">
        <w:rPr>
          <w:rFonts w:eastAsia="Calibri" w:cstheme="minorHAnsi"/>
          <w:sz w:val="24"/>
          <w:szCs w:val="24"/>
          <w:u w:val="single"/>
        </w:rPr>
        <w:t>is required when nonresidential occupancies are designed</w:t>
      </w:r>
      <w:r w:rsidRPr="006A5B35">
        <w:rPr>
          <w:rFonts w:cstheme="minorHAnsi"/>
          <w:sz w:val="24"/>
          <w:szCs w:val="24"/>
          <w:u w:val="single"/>
        </w:rPr>
        <w:t xml:space="preserve"> with single zone space</w:t>
      </w:r>
      <w:r w:rsidRPr="006A5B35">
        <w:rPr>
          <w:rFonts w:eastAsia="Calibri" w:cstheme="minorHAnsi"/>
          <w:sz w:val="24"/>
          <w:szCs w:val="24"/>
          <w:u w:val="single"/>
        </w:rPr>
        <w:t>-</w:t>
      </w:r>
      <w:r w:rsidRPr="006A5B35">
        <w:rPr>
          <w:rFonts w:cstheme="minorHAnsi"/>
          <w:sz w:val="24"/>
          <w:szCs w:val="24"/>
          <w:u w:val="single"/>
        </w:rPr>
        <w:t xml:space="preserve">conditioning systems </w:t>
      </w:r>
      <w:r w:rsidRPr="006A5B35">
        <w:rPr>
          <w:rFonts w:eastAsia="Calibri" w:cstheme="minorHAnsi"/>
          <w:sz w:val="24"/>
          <w:szCs w:val="24"/>
          <w:u w:val="single"/>
        </w:rPr>
        <w:t xml:space="preserve">complying with </w:t>
      </w:r>
      <w:r w:rsidRPr="006A5B35">
        <w:rPr>
          <w:rFonts w:cstheme="minorHAnsi"/>
          <w:sz w:val="24"/>
          <w:szCs w:val="24"/>
          <w:u w:val="single"/>
        </w:rPr>
        <w:t>Section 140.4(a)2</w:t>
      </w:r>
      <w:r w:rsidRPr="006A5B35">
        <w:rPr>
          <w:rFonts w:eastAsia="Calibri" w:cstheme="minorHAnsi"/>
          <w:sz w:val="24"/>
          <w:szCs w:val="24"/>
          <w:u w:val="single"/>
        </w:rPr>
        <w:t>.</w:t>
      </w:r>
    </w:p>
    <w:p w14:paraId="10471118" w14:textId="218F1BAC" w:rsidR="003B719D" w:rsidRPr="006A5B35" w:rsidRDefault="18EFB8F5" w:rsidP="18EFB8F5">
      <w:pPr>
        <w:rPr>
          <w:rFonts w:cstheme="minorHAnsi"/>
          <w:sz w:val="24"/>
          <w:szCs w:val="24"/>
        </w:rPr>
      </w:pPr>
      <w:r w:rsidRPr="006A5B35">
        <w:rPr>
          <w:rFonts w:cstheme="minorHAnsi"/>
          <w:sz w:val="24"/>
          <w:szCs w:val="24"/>
        </w:rPr>
        <w:t xml:space="preserve">(a) – (c) </w:t>
      </w:r>
      <w:r w:rsidR="003B719D" w:rsidRPr="006A5B35">
        <w:rPr>
          <w:rFonts w:cstheme="minorHAnsi"/>
          <w:sz w:val="24"/>
          <w:szCs w:val="24"/>
        </w:rPr>
        <w:tab/>
      </w:r>
      <w:r w:rsidRPr="006A5B35">
        <w:rPr>
          <w:rFonts w:cstheme="minorHAnsi"/>
          <w:sz w:val="24"/>
          <w:szCs w:val="24"/>
        </w:rPr>
        <w:t xml:space="preserve">Subsections 140.1 (a) – (c) are adopted without modification.  </w:t>
      </w:r>
    </w:p>
    <w:p w14:paraId="4E47ED7F" w14:textId="77777777" w:rsidR="005A0096" w:rsidRPr="006A5B35" w:rsidRDefault="00BE2AD7" w:rsidP="005A0096">
      <w:pPr>
        <w:pStyle w:val="Heading1"/>
        <w:rPr>
          <w:rFonts w:asciiTheme="minorHAnsi" w:hAnsiTheme="minorHAnsi" w:cstheme="minorHAnsi"/>
          <w:szCs w:val="24"/>
        </w:rPr>
      </w:pPr>
      <w:r w:rsidRPr="006A5B35">
        <w:rPr>
          <w:rFonts w:asciiTheme="minorHAnsi" w:hAnsiTheme="minorHAnsi" w:cstheme="minorHAnsi"/>
          <w:szCs w:val="24"/>
        </w:rPr>
        <w:lastRenderedPageBreak/>
        <w:t xml:space="preserve">SUBCHAPTER 7 </w:t>
      </w:r>
    </w:p>
    <w:p w14:paraId="3FFDB976" w14:textId="44BC05B6" w:rsidR="00BE2AD7" w:rsidRPr="006A5B35" w:rsidRDefault="00BE2AD7" w:rsidP="00F16DC1">
      <w:pPr>
        <w:pStyle w:val="Heading2"/>
        <w:rPr>
          <w:rFonts w:asciiTheme="minorHAnsi" w:hAnsiTheme="minorHAnsi" w:cstheme="minorHAnsi"/>
          <w:sz w:val="24"/>
          <w:szCs w:val="24"/>
        </w:rPr>
      </w:pPr>
      <w:r w:rsidRPr="006A5B35">
        <w:rPr>
          <w:rFonts w:asciiTheme="minorHAnsi" w:hAnsiTheme="minorHAnsi" w:cstheme="minorHAnsi"/>
          <w:sz w:val="24"/>
          <w:szCs w:val="24"/>
        </w:rPr>
        <w:t>SINGLE-FAMILY RESIDENTIAL BUILDINGS</w:t>
      </w:r>
      <w:r w:rsidR="00A141C7" w:rsidRPr="006A5B35">
        <w:rPr>
          <w:rFonts w:asciiTheme="minorHAnsi" w:hAnsiTheme="minorHAnsi" w:cstheme="minorHAnsi"/>
          <w:sz w:val="24"/>
          <w:szCs w:val="24"/>
        </w:rPr>
        <w:t xml:space="preserve"> </w:t>
      </w:r>
      <w:r w:rsidR="007742BE" w:rsidRPr="006A5B35">
        <w:rPr>
          <w:rFonts w:asciiTheme="minorHAnsi" w:hAnsiTheme="minorHAnsi" w:cstheme="minorHAnsi"/>
          <w:sz w:val="24"/>
          <w:szCs w:val="24"/>
        </w:rPr>
        <w:t>– MANDATORY FEATURES AND DEVICES</w:t>
      </w:r>
    </w:p>
    <w:p w14:paraId="3AD078C4" w14:textId="04F18165" w:rsidR="001B3147" w:rsidRPr="006A5B35" w:rsidRDefault="001B3147" w:rsidP="005A0096">
      <w:pPr>
        <w:pStyle w:val="Heading3"/>
        <w:rPr>
          <w:rFonts w:asciiTheme="minorHAnsi" w:hAnsiTheme="minorHAnsi" w:cstheme="minorHAnsi"/>
        </w:rPr>
      </w:pPr>
      <w:r w:rsidRPr="006A5B35">
        <w:rPr>
          <w:rFonts w:asciiTheme="minorHAnsi" w:hAnsiTheme="minorHAnsi" w:cstheme="minorHAnsi"/>
        </w:rPr>
        <w:t>SECTION 150.0 - MANDATORY FEATURES AND DEVICES</w:t>
      </w:r>
    </w:p>
    <w:p w14:paraId="19F0852D" w14:textId="24C163B4" w:rsidR="003F6429" w:rsidRPr="006A5B35" w:rsidRDefault="007742BE" w:rsidP="003F6429">
      <w:pPr>
        <w:pStyle w:val="Subtitle"/>
        <w:rPr>
          <w:rFonts w:eastAsiaTheme="minorHAnsi" w:cstheme="minorHAnsi"/>
          <w:color w:val="auto"/>
          <w:spacing w:val="0"/>
          <w:sz w:val="24"/>
          <w:szCs w:val="24"/>
        </w:rPr>
      </w:pPr>
      <w:r w:rsidRPr="006A5B35">
        <w:rPr>
          <w:rFonts w:eastAsiaTheme="minorHAnsi" w:cstheme="minorHAnsi"/>
          <w:color w:val="auto"/>
          <w:spacing w:val="0"/>
          <w:sz w:val="24"/>
          <w:szCs w:val="24"/>
        </w:rPr>
        <w:t xml:space="preserve">Section 150.0 </w:t>
      </w:r>
      <w:r w:rsidR="003F6429" w:rsidRPr="006A5B35">
        <w:rPr>
          <w:rFonts w:eastAsiaTheme="minorHAnsi" w:cstheme="minorHAnsi"/>
          <w:color w:val="auto"/>
          <w:spacing w:val="0"/>
          <w:sz w:val="24"/>
          <w:szCs w:val="24"/>
        </w:rPr>
        <w:t xml:space="preserve">is amended as follows:  </w:t>
      </w:r>
    </w:p>
    <w:p w14:paraId="3B31C752" w14:textId="77777777" w:rsidR="003F6429" w:rsidRPr="006A5B35" w:rsidRDefault="003F6429" w:rsidP="003F6429">
      <w:pPr>
        <w:pStyle w:val="Subtitle"/>
        <w:rPr>
          <w:rFonts w:eastAsiaTheme="minorHAnsi" w:cstheme="minorHAnsi"/>
          <w:color w:val="auto"/>
          <w:spacing w:val="0"/>
          <w:sz w:val="24"/>
          <w:szCs w:val="24"/>
        </w:rPr>
      </w:pPr>
      <w:r w:rsidRPr="006A5B35">
        <w:rPr>
          <w:rFonts w:eastAsiaTheme="minorHAnsi" w:cstheme="minorHAnsi"/>
          <w:color w:val="auto"/>
          <w:spacing w:val="0"/>
          <w:sz w:val="24"/>
          <w:szCs w:val="24"/>
        </w:rPr>
        <w:t>Single-family residential buildings shall comply with the applicable requirements of Sections 150(a) through 150.0(v).</w:t>
      </w:r>
    </w:p>
    <w:p w14:paraId="5FAA1CFB" w14:textId="51751BFB" w:rsidR="003F6429" w:rsidRPr="006A5B35" w:rsidRDefault="003F6429" w:rsidP="26E0A22B">
      <w:pPr>
        <w:pStyle w:val="Subtitle"/>
        <w:rPr>
          <w:rFonts w:cstheme="minorHAnsi"/>
          <w:color w:val="auto"/>
          <w:spacing w:val="0"/>
          <w:sz w:val="24"/>
          <w:szCs w:val="24"/>
        </w:rPr>
      </w:pPr>
      <w:r w:rsidRPr="006A5B35">
        <w:rPr>
          <w:rFonts w:cstheme="minorHAnsi"/>
          <w:b/>
          <w:bCs/>
          <w:color w:val="auto"/>
          <w:spacing w:val="0"/>
          <w:sz w:val="24"/>
          <w:szCs w:val="24"/>
        </w:rPr>
        <w:t>NOTE:</w:t>
      </w:r>
      <w:r w:rsidRPr="006A5B35">
        <w:rPr>
          <w:rFonts w:cstheme="minorHAnsi"/>
          <w:color w:val="auto"/>
          <w:spacing w:val="0"/>
          <w:sz w:val="24"/>
          <w:szCs w:val="24"/>
        </w:rPr>
        <w:t xml:space="preserve"> The requirements of Sections 150.0 (a) through (</w:t>
      </w:r>
      <w:r w:rsidRPr="006A5B35">
        <w:rPr>
          <w:rFonts w:cstheme="minorHAnsi"/>
          <w:color w:val="auto"/>
          <w:spacing w:val="0"/>
          <w:sz w:val="24"/>
          <w:szCs w:val="24"/>
          <w:u w:val="single"/>
        </w:rPr>
        <w:t>v</w:t>
      </w:r>
      <w:r w:rsidRPr="006A5B35">
        <w:rPr>
          <w:rFonts w:cstheme="minorHAnsi"/>
          <w:color w:val="auto"/>
          <w:spacing w:val="0"/>
          <w:sz w:val="24"/>
          <w:szCs w:val="24"/>
        </w:rPr>
        <w:t xml:space="preserve">) apply to newly constructed buildings. Sections 150.2(a) and 150.2(b) specify which requirements of Sections 150.0(a) through 150.0(r) also apply to additions or alterations. </w:t>
      </w:r>
      <w:r w:rsidRPr="006A5B35">
        <w:rPr>
          <w:rFonts w:cstheme="minorHAnsi"/>
          <w:color w:val="auto"/>
          <w:spacing w:val="0"/>
          <w:sz w:val="24"/>
          <w:szCs w:val="24"/>
          <w:u w:val="single"/>
        </w:rPr>
        <w:t xml:space="preserve">The amendments to sections 150.0 (t) do not apply to additions or alterations. </w:t>
      </w:r>
      <w:r w:rsidRPr="006A5B35">
        <w:rPr>
          <w:rFonts w:cstheme="minorHAnsi"/>
          <w:color w:val="auto"/>
          <w:spacing w:val="0"/>
          <w:sz w:val="24"/>
          <w:szCs w:val="24"/>
        </w:rPr>
        <w:t xml:space="preserve"> </w:t>
      </w:r>
    </w:p>
    <w:p w14:paraId="12EC9BF9" w14:textId="4CDF2730" w:rsidR="003F6429" w:rsidRPr="006A5B35" w:rsidRDefault="00AF37CD" w:rsidP="00AF37CD">
      <w:pPr>
        <w:pStyle w:val="Subtitle"/>
        <w:ind w:left="720"/>
        <w:rPr>
          <w:rFonts w:eastAsiaTheme="minorHAnsi" w:cstheme="minorHAnsi"/>
          <w:color w:val="auto"/>
          <w:spacing w:val="0"/>
          <w:sz w:val="24"/>
          <w:szCs w:val="24"/>
        </w:rPr>
      </w:pPr>
      <w:r w:rsidRPr="006A5B35">
        <w:rPr>
          <w:rFonts w:eastAsiaTheme="minorHAnsi" w:cstheme="minorHAnsi"/>
          <w:color w:val="auto"/>
          <w:spacing w:val="0"/>
          <w:sz w:val="24"/>
          <w:szCs w:val="24"/>
        </w:rPr>
        <w:t>(a)</w:t>
      </w:r>
      <w:r w:rsidR="00552908" w:rsidRPr="006A5B35">
        <w:rPr>
          <w:rFonts w:eastAsiaTheme="minorHAnsi" w:cstheme="minorHAnsi"/>
          <w:color w:val="auto"/>
          <w:spacing w:val="0"/>
          <w:sz w:val="24"/>
          <w:szCs w:val="24"/>
        </w:rPr>
        <w:t xml:space="preserve"> </w:t>
      </w:r>
      <w:r w:rsidR="003F6429" w:rsidRPr="006A5B35">
        <w:rPr>
          <w:rFonts w:eastAsiaTheme="minorHAnsi" w:cstheme="minorHAnsi"/>
          <w:color w:val="auto"/>
          <w:spacing w:val="0"/>
          <w:sz w:val="24"/>
          <w:szCs w:val="24"/>
        </w:rPr>
        <w:t>– (s):  Subsections 150.0(a) – (s) are adopted without modification.</w:t>
      </w:r>
    </w:p>
    <w:p w14:paraId="1A285EA0" w14:textId="77777777" w:rsidR="003F6429" w:rsidRPr="006A5B35" w:rsidRDefault="003F6429" w:rsidP="00AF37CD">
      <w:pPr>
        <w:pStyle w:val="Subtitle"/>
        <w:ind w:left="720"/>
        <w:rPr>
          <w:rFonts w:eastAsiaTheme="minorHAnsi" w:cstheme="minorHAnsi"/>
          <w:color w:val="auto"/>
          <w:spacing w:val="0"/>
          <w:sz w:val="24"/>
          <w:szCs w:val="24"/>
        </w:rPr>
      </w:pPr>
      <w:r w:rsidRPr="006A5B35">
        <w:rPr>
          <w:rFonts w:eastAsiaTheme="minorHAnsi" w:cstheme="minorHAnsi"/>
          <w:color w:val="auto"/>
          <w:spacing w:val="0"/>
          <w:sz w:val="24"/>
          <w:szCs w:val="24"/>
        </w:rPr>
        <w:t>(t) Heat pump space heater ready. Systems using gas or propane furnace to serve individual dwelling units shall include the following:</w:t>
      </w:r>
    </w:p>
    <w:p w14:paraId="19C2D853" w14:textId="77777777" w:rsidR="003F6429" w:rsidRPr="006A5B35" w:rsidRDefault="003F6429" w:rsidP="00AF37CD">
      <w:pPr>
        <w:pStyle w:val="Subtitle"/>
        <w:ind w:left="1440"/>
        <w:rPr>
          <w:rFonts w:eastAsiaTheme="minorHAnsi" w:cstheme="minorHAnsi"/>
          <w:color w:val="auto"/>
          <w:spacing w:val="0"/>
          <w:sz w:val="24"/>
          <w:szCs w:val="24"/>
        </w:rPr>
      </w:pPr>
      <w:r w:rsidRPr="006A5B35">
        <w:rPr>
          <w:rFonts w:eastAsiaTheme="minorHAnsi" w:cstheme="minorHAnsi"/>
          <w:color w:val="auto"/>
          <w:spacing w:val="0"/>
          <w:sz w:val="24"/>
          <w:szCs w:val="24"/>
        </w:rPr>
        <w:t xml:space="preserve">1. A dedicated </w:t>
      </w:r>
      <w:proofErr w:type="gramStart"/>
      <w:r w:rsidRPr="006A5B35">
        <w:rPr>
          <w:rFonts w:eastAsiaTheme="minorHAnsi" w:cstheme="minorHAnsi"/>
          <w:color w:val="auto"/>
          <w:spacing w:val="0"/>
          <w:sz w:val="24"/>
          <w:szCs w:val="24"/>
        </w:rPr>
        <w:t>240 volt</w:t>
      </w:r>
      <w:proofErr w:type="gramEnd"/>
      <w:r w:rsidRPr="006A5B35">
        <w:rPr>
          <w:rFonts w:eastAsiaTheme="minorHAnsi" w:cstheme="minorHAnsi"/>
          <w:color w:val="auto"/>
          <w:spacing w:val="0"/>
          <w:sz w:val="24"/>
          <w:szCs w:val="24"/>
        </w:rPr>
        <w:t xml:space="preserve"> branch circuit wiring shall be installed within 3 feet from the furnace and accessible to the furnace with no obstructions. The branch circuit conductors shall be rated at 30 amps minimum. The blank cover shall be identified as “240V ready.” All electrical components shall be installed in accordance with the California Electrical Code.</w:t>
      </w:r>
    </w:p>
    <w:p w14:paraId="62F1A478" w14:textId="77777777" w:rsidR="003F6429" w:rsidRPr="006A5B35" w:rsidRDefault="003F6429" w:rsidP="00AF37CD">
      <w:pPr>
        <w:pStyle w:val="Subtitle"/>
        <w:ind w:left="1440"/>
        <w:rPr>
          <w:rFonts w:eastAsiaTheme="minorHAnsi" w:cstheme="minorHAnsi"/>
          <w:color w:val="auto"/>
          <w:spacing w:val="0"/>
          <w:sz w:val="24"/>
          <w:szCs w:val="24"/>
        </w:rPr>
      </w:pPr>
      <w:r w:rsidRPr="006A5B35">
        <w:rPr>
          <w:rFonts w:eastAsiaTheme="minorHAnsi" w:cstheme="minorHAnsi"/>
          <w:color w:val="auto"/>
          <w:spacing w:val="0"/>
          <w:sz w:val="24"/>
          <w:szCs w:val="24"/>
        </w:rPr>
        <w:t>2. The main electrical service panel shall have a reserved space to allow for the installation of a double pole circuit breaker for a future heat pump space heater installation. The reserved space shall be permanently marked as “For Future 240V use.”</w:t>
      </w:r>
    </w:p>
    <w:p w14:paraId="6B3F71E6" w14:textId="77777777" w:rsidR="003F6429" w:rsidRPr="006A5B35" w:rsidRDefault="003F6429" w:rsidP="00AF37CD">
      <w:pPr>
        <w:pStyle w:val="Subtitle"/>
        <w:ind w:left="1440"/>
        <w:rPr>
          <w:rFonts w:eastAsiaTheme="minorHAnsi" w:cstheme="minorHAnsi"/>
          <w:color w:val="auto"/>
          <w:spacing w:val="0"/>
          <w:sz w:val="24"/>
          <w:szCs w:val="24"/>
          <w:u w:val="single"/>
        </w:rPr>
      </w:pPr>
      <w:r w:rsidRPr="006A5B35">
        <w:rPr>
          <w:rFonts w:cstheme="minorHAnsi"/>
          <w:color w:val="auto"/>
          <w:spacing w:val="0"/>
          <w:sz w:val="24"/>
          <w:szCs w:val="24"/>
          <w:u w:val="single"/>
        </w:rPr>
        <w:t>3. A designated exterior location for a future heat pump compressor unit with either a drain or natural drainage for condensate.</w:t>
      </w:r>
    </w:p>
    <w:p w14:paraId="5D5B05BF" w14:textId="5F4E4555" w:rsidR="003F6429" w:rsidRPr="006A5B35" w:rsidRDefault="003F6429" w:rsidP="18EFB8F5">
      <w:pPr>
        <w:pStyle w:val="Subtitle"/>
        <w:rPr>
          <w:rFonts w:cstheme="minorHAnsi"/>
          <w:color w:val="auto"/>
          <w:spacing w:val="0"/>
          <w:sz w:val="24"/>
          <w:szCs w:val="24"/>
        </w:rPr>
      </w:pPr>
      <w:r w:rsidRPr="006A5B35">
        <w:rPr>
          <w:rFonts w:cstheme="minorHAnsi"/>
          <w:color w:val="auto"/>
          <w:spacing w:val="0"/>
          <w:sz w:val="24"/>
          <w:szCs w:val="24"/>
        </w:rPr>
        <w:t xml:space="preserve">     </w:t>
      </w:r>
      <w:r w:rsidR="00AF37CD" w:rsidRPr="006A5B35">
        <w:rPr>
          <w:rFonts w:eastAsiaTheme="minorHAnsi" w:cstheme="minorHAnsi"/>
          <w:color w:val="auto"/>
          <w:spacing w:val="0"/>
          <w:sz w:val="24"/>
          <w:szCs w:val="24"/>
        </w:rPr>
        <w:tab/>
      </w:r>
      <w:r w:rsidRPr="006A5B35">
        <w:rPr>
          <w:rFonts w:cstheme="minorHAnsi"/>
          <w:color w:val="auto"/>
          <w:spacing w:val="0"/>
          <w:sz w:val="24"/>
          <w:szCs w:val="24"/>
        </w:rPr>
        <w:t xml:space="preserve"> (u) – (v):  Subsections 150.0(u) – (v) are adopted without modification.</w:t>
      </w:r>
    </w:p>
    <w:p w14:paraId="51F16D7A" w14:textId="77777777" w:rsidR="00871482" w:rsidRPr="006A5B35" w:rsidRDefault="00871482">
      <w:pPr>
        <w:rPr>
          <w:rFonts w:eastAsiaTheme="majorEastAsia" w:cstheme="minorHAnsi"/>
          <w:color w:val="2F5496" w:themeColor="accent1" w:themeShade="BF"/>
          <w:sz w:val="24"/>
          <w:szCs w:val="24"/>
        </w:rPr>
      </w:pPr>
      <w:r w:rsidRPr="006A5B35">
        <w:rPr>
          <w:rFonts w:cstheme="minorHAnsi"/>
          <w:sz w:val="24"/>
          <w:szCs w:val="24"/>
        </w:rPr>
        <w:br w:type="page"/>
      </w:r>
    </w:p>
    <w:p w14:paraId="28AF240E" w14:textId="66792E48" w:rsidR="00911141" w:rsidRPr="006A5B35" w:rsidRDefault="00911141" w:rsidP="00911141">
      <w:pPr>
        <w:pStyle w:val="Heading1"/>
        <w:rPr>
          <w:rFonts w:asciiTheme="minorHAnsi" w:hAnsiTheme="minorHAnsi" w:cstheme="minorHAnsi"/>
          <w:szCs w:val="24"/>
        </w:rPr>
      </w:pPr>
      <w:r w:rsidRPr="006A5B35">
        <w:rPr>
          <w:rFonts w:asciiTheme="minorHAnsi" w:hAnsiTheme="minorHAnsi" w:cstheme="minorHAnsi"/>
          <w:szCs w:val="24"/>
        </w:rPr>
        <w:lastRenderedPageBreak/>
        <w:t xml:space="preserve">SUBCHAPTER 8 </w:t>
      </w:r>
    </w:p>
    <w:p w14:paraId="6206FA1C" w14:textId="50522C42" w:rsidR="00911141" w:rsidRPr="006A5B35" w:rsidRDefault="00911141" w:rsidP="00911141">
      <w:pPr>
        <w:pStyle w:val="Heading2"/>
        <w:rPr>
          <w:rFonts w:asciiTheme="minorHAnsi" w:hAnsiTheme="minorHAnsi" w:cstheme="minorHAnsi"/>
          <w:sz w:val="24"/>
          <w:szCs w:val="24"/>
        </w:rPr>
      </w:pPr>
      <w:r w:rsidRPr="006A5B35">
        <w:rPr>
          <w:rFonts w:asciiTheme="minorHAnsi" w:hAnsiTheme="minorHAnsi" w:cstheme="minorHAnsi"/>
          <w:sz w:val="24"/>
          <w:szCs w:val="24"/>
        </w:rPr>
        <w:t xml:space="preserve">SINGLE-FAMILY RESIDENTIAL BUILDINGS – </w:t>
      </w:r>
      <w:r w:rsidR="00C03D63" w:rsidRPr="006A5B35">
        <w:rPr>
          <w:rFonts w:asciiTheme="minorHAnsi" w:hAnsiTheme="minorHAnsi" w:cstheme="minorHAnsi"/>
          <w:sz w:val="24"/>
          <w:szCs w:val="24"/>
        </w:rPr>
        <w:t>PERFORMANCE AND PRESCRIPTIVE COMPLIANCE APPROACHES</w:t>
      </w:r>
    </w:p>
    <w:p w14:paraId="07EF4090" w14:textId="4C97E2FF" w:rsidR="003A62EB" w:rsidRPr="006A5B35" w:rsidRDefault="0014306A" w:rsidP="00A41C5A">
      <w:pPr>
        <w:pStyle w:val="Heading3"/>
        <w:rPr>
          <w:rFonts w:asciiTheme="minorHAnsi" w:hAnsiTheme="minorHAnsi" w:cstheme="minorHAnsi"/>
        </w:rPr>
      </w:pPr>
      <w:r w:rsidRPr="006A5B35">
        <w:rPr>
          <w:rFonts w:asciiTheme="minorHAnsi" w:hAnsiTheme="minorHAnsi" w:cstheme="minorHAnsi"/>
        </w:rPr>
        <w:t xml:space="preserve">SECTION </w:t>
      </w:r>
      <w:r w:rsidR="003A62EB" w:rsidRPr="006A5B35">
        <w:rPr>
          <w:rFonts w:asciiTheme="minorHAnsi" w:hAnsiTheme="minorHAnsi" w:cstheme="minorHAnsi"/>
        </w:rPr>
        <w:t xml:space="preserve">150.1 - PERFORMANCE AND PRESCRIPTIVE COMPLIANCE APPROACHES FOR </w:t>
      </w:r>
      <w:r w:rsidR="00B557CB" w:rsidRPr="006A5B35">
        <w:rPr>
          <w:rFonts w:asciiTheme="minorHAnsi" w:hAnsiTheme="minorHAnsi" w:cstheme="minorHAnsi"/>
        </w:rPr>
        <w:t>SINGLE FAMILY</w:t>
      </w:r>
      <w:r w:rsidR="003A62EB" w:rsidRPr="006A5B35">
        <w:rPr>
          <w:rFonts w:asciiTheme="minorHAnsi" w:hAnsiTheme="minorHAnsi" w:cstheme="minorHAnsi"/>
        </w:rPr>
        <w:t xml:space="preserve"> RESIDENTIAL BUILDINGS</w:t>
      </w:r>
      <w:r w:rsidR="0073366D" w:rsidRPr="006A5B35">
        <w:rPr>
          <w:rFonts w:asciiTheme="minorHAnsi" w:hAnsiTheme="minorHAnsi" w:cstheme="minorHAnsi"/>
        </w:rPr>
        <w:tab/>
      </w:r>
    </w:p>
    <w:p w14:paraId="5DD145A5" w14:textId="610495D1" w:rsidR="003925FA" w:rsidRPr="006A5B35" w:rsidRDefault="0053094C" w:rsidP="0049345A">
      <w:pPr>
        <w:rPr>
          <w:rFonts w:cstheme="minorHAnsi"/>
          <w:sz w:val="24"/>
          <w:szCs w:val="24"/>
        </w:rPr>
      </w:pPr>
      <w:r w:rsidRPr="006A5B35">
        <w:rPr>
          <w:rFonts w:cstheme="minorHAnsi"/>
          <w:sz w:val="24"/>
          <w:szCs w:val="24"/>
        </w:rPr>
        <w:t xml:space="preserve">Section 150.1 </w:t>
      </w:r>
      <w:r w:rsidR="003925FA" w:rsidRPr="006A5B35">
        <w:rPr>
          <w:rFonts w:cstheme="minorHAnsi"/>
          <w:sz w:val="24"/>
          <w:szCs w:val="24"/>
        </w:rPr>
        <w:t>is amended to read as follows:</w:t>
      </w:r>
    </w:p>
    <w:p w14:paraId="4069B7BD" w14:textId="77777777" w:rsidR="003925FA" w:rsidRPr="006A5B35" w:rsidRDefault="003925FA" w:rsidP="00315FE2">
      <w:pPr>
        <w:pStyle w:val="ListParagraph"/>
        <w:widowControl w:val="0"/>
        <w:numPr>
          <w:ilvl w:val="0"/>
          <w:numId w:val="16"/>
        </w:numPr>
        <w:autoSpaceDE w:val="0"/>
        <w:autoSpaceDN w:val="0"/>
        <w:spacing w:after="0" w:line="240" w:lineRule="auto"/>
        <w:ind w:left="720" w:hanging="720"/>
        <w:contextualSpacing w:val="0"/>
        <w:jc w:val="left"/>
        <w:rPr>
          <w:rFonts w:cstheme="minorHAnsi"/>
          <w:sz w:val="24"/>
          <w:szCs w:val="24"/>
        </w:rPr>
      </w:pPr>
      <w:r w:rsidRPr="006A5B35">
        <w:rPr>
          <w:rFonts w:cstheme="minorHAnsi"/>
          <w:sz w:val="24"/>
          <w:szCs w:val="24"/>
        </w:rPr>
        <w:t xml:space="preserve">Section (a) is adopted without </w:t>
      </w:r>
      <w:proofErr w:type="gramStart"/>
      <w:r w:rsidRPr="006A5B35">
        <w:rPr>
          <w:rFonts w:cstheme="minorHAnsi"/>
          <w:sz w:val="24"/>
          <w:szCs w:val="24"/>
        </w:rPr>
        <w:t>modification</w:t>
      </w:r>
      <w:proofErr w:type="gramEnd"/>
      <w:r w:rsidRPr="006A5B35">
        <w:rPr>
          <w:rFonts w:cstheme="minorHAnsi"/>
          <w:sz w:val="24"/>
          <w:szCs w:val="24"/>
        </w:rPr>
        <w:t xml:space="preserve"> </w:t>
      </w:r>
    </w:p>
    <w:p w14:paraId="32BA9D9C" w14:textId="77777777" w:rsidR="003925FA" w:rsidRPr="006A5B35" w:rsidRDefault="003925FA" w:rsidP="003925FA">
      <w:pPr>
        <w:pStyle w:val="ListParagraph"/>
        <w:widowControl w:val="0"/>
        <w:autoSpaceDE w:val="0"/>
        <w:autoSpaceDN w:val="0"/>
        <w:rPr>
          <w:rFonts w:cstheme="minorHAnsi"/>
          <w:sz w:val="24"/>
          <w:szCs w:val="24"/>
        </w:rPr>
      </w:pPr>
    </w:p>
    <w:p w14:paraId="3C3D3C3E" w14:textId="77777777" w:rsidR="003925FA" w:rsidRPr="006A5B35" w:rsidRDefault="003925FA" w:rsidP="00315FE2">
      <w:pPr>
        <w:pStyle w:val="ListParagraph"/>
        <w:widowControl w:val="0"/>
        <w:numPr>
          <w:ilvl w:val="0"/>
          <w:numId w:val="16"/>
        </w:numPr>
        <w:autoSpaceDE w:val="0"/>
        <w:autoSpaceDN w:val="0"/>
        <w:spacing w:after="0" w:line="240" w:lineRule="auto"/>
        <w:ind w:left="720" w:hanging="720"/>
        <w:contextualSpacing w:val="0"/>
        <w:jc w:val="left"/>
        <w:rPr>
          <w:rFonts w:cstheme="minorHAnsi"/>
          <w:sz w:val="24"/>
          <w:szCs w:val="24"/>
        </w:rPr>
      </w:pPr>
      <w:r w:rsidRPr="006A5B35">
        <w:rPr>
          <w:rFonts w:cstheme="minorHAnsi"/>
          <w:sz w:val="24"/>
          <w:szCs w:val="24"/>
        </w:rPr>
        <w:t xml:space="preserve">Performance Standards. A building complies with the performance standards if the energy consumption calculated for the proposed design building is no greater than the energy budget calculated for the standard design building using Commission-certified compliance software as specified by the Alternative Calculation Methods Approval Manual, </w:t>
      </w:r>
      <w:r w:rsidRPr="006A5B35">
        <w:rPr>
          <w:rFonts w:cstheme="minorHAnsi"/>
          <w:sz w:val="24"/>
          <w:szCs w:val="24"/>
          <w:u w:val="single"/>
        </w:rPr>
        <w:t>as specified in sub-sections 1, 2 and 3 below.</w:t>
      </w:r>
    </w:p>
    <w:p w14:paraId="143CF6CF" w14:textId="77777777" w:rsidR="003925FA" w:rsidRPr="006A5B35" w:rsidRDefault="003925FA" w:rsidP="003925FA">
      <w:pPr>
        <w:pStyle w:val="ListParagraph"/>
        <w:widowControl w:val="0"/>
        <w:autoSpaceDE w:val="0"/>
        <w:autoSpaceDN w:val="0"/>
        <w:ind w:left="1440"/>
        <w:jc w:val="right"/>
        <w:rPr>
          <w:rFonts w:cstheme="minorHAnsi"/>
          <w:sz w:val="24"/>
          <w:szCs w:val="24"/>
        </w:rPr>
      </w:pPr>
    </w:p>
    <w:p w14:paraId="01D52657" w14:textId="7DEE5686" w:rsidR="003925FA" w:rsidRPr="006A5B35" w:rsidRDefault="18EFB8F5" w:rsidP="18EFB8F5">
      <w:pPr>
        <w:pStyle w:val="ListParagraph"/>
        <w:widowControl w:val="0"/>
        <w:numPr>
          <w:ilvl w:val="1"/>
          <w:numId w:val="16"/>
        </w:numPr>
        <w:autoSpaceDE w:val="0"/>
        <w:autoSpaceDN w:val="0"/>
        <w:spacing w:after="0" w:line="240" w:lineRule="auto"/>
        <w:ind w:left="1440" w:hanging="720"/>
        <w:jc w:val="left"/>
        <w:rPr>
          <w:rFonts w:cstheme="minorHAnsi"/>
          <w:sz w:val="24"/>
          <w:szCs w:val="24"/>
        </w:rPr>
      </w:pPr>
      <w:r w:rsidRPr="006A5B35">
        <w:rPr>
          <w:rFonts w:cstheme="minorHAnsi"/>
          <w:sz w:val="24"/>
          <w:szCs w:val="24"/>
        </w:rPr>
        <w:t xml:space="preserve">Newly Constructed Buildings. The Energy Budget for newly constructed buildings is expressed in terms of the Energy Design Ratings, which are based on source energy and time-dependent valuation (TDV) energy. The Energy Design Rating 1 (EDR1) is based on source energy. The Energy Design Rating 2 (EDR2) is based on TDV energy and has two components, the Energy Efficiency Design Rating, and the Solar Electric Generation and Demand Flexibility Design Rating. The total Energy Design Rating shall account for both the Energy Efficiency Design Rating and the Solar Electric Generation and Demand Flexibility Design Rating. The proposed building shall separately comply with the Source Energy Design Rating, Energy Efficiency Design Rating and the Total Energy Design Rating.  </w:t>
      </w:r>
      <w:r w:rsidRPr="006A5B35">
        <w:rPr>
          <w:rFonts w:cstheme="minorHAnsi"/>
          <w:sz w:val="24"/>
          <w:szCs w:val="24"/>
          <w:u w:val="single"/>
        </w:rPr>
        <w:t>A building complies with the performance approach if the TDV energy budget calculated for the proposed design building is no greater than the TDV energy budget calculated for the Standard Design Building AND Source Energy compliance margin of at least</w:t>
      </w:r>
      <w:r w:rsidR="0005337B" w:rsidRPr="006A5B35">
        <w:rPr>
          <w:rFonts w:cstheme="minorHAnsi"/>
          <w:sz w:val="24"/>
          <w:szCs w:val="24"/>
          <w:highlight w:val="yellow"/>
          <w:u w:val="single"/>
        </w:rPr>
        <w:t>&lt;x&gt;</w:t>
      </w:r>
      <w:commentRangeStart w:id="2"/>
      <w:r w:rsidRPr="006A5B35">
        <w:rPr>
          <w:rFonts w:cstheme="minorHAnsi"/>
          <w:sz w:val="24"/>
          <w:szCs w:val="24"/>
          <w:highlight w:val="yellow"/>
          <w:u w:val="single"/>
        </w:rPr>
        <w:t>,</w:t>
      </w:r>
      <w:commentRangeEnd w:id="2"/>
      <w:r w:rsidR="0005337B" w:rsidRPr="006A5B35">
        <w:rPr>
          <w:rStyle w:val="CommentReference"/>
          <w:rFonts w:cstheme="minorHAnsi"/>
          <w:sz w:val="24"/>
          <w:szCs w:val="24"/>
          <w:highlight w:val="yellow"/>
        </w:rPr>
        <w:commentReference w:id="2"/>
      </w:r>
      <w:r w:rsidRPr="006A5B35">
        <w:rPr>
          <w:rFonts w:cstheme="minorHAnsi"/>
          <w:sz w:val="24"/>
          <w:szCs w:val="24"/>
          <w:u w:val="single"/>
        </w:rPr>
        <w:t xml:space="preserve"> relative to the Source Energy Design Rating 1 calculated for the Standard Design building.</w:t>
      </w:r>
    </w:p>
    <w:p w14:paraId="692C817D" w14:textId="77777777" w:rsidR="003925FA" w:rsidRPr="006A5B35" w:rsidRDefault="003925FA" w:rsidP="003925FA">
      <w:pPr>
        <w:pStyle w:val="BodyText"/>
        <w:ind w:left="1380"/>
        <w:rPr>
          <w:rFonts w:asciiTheme="minorHAnsi" w:hAnsiTheme="minorHAnsi" w:cstheme="minorHAnsi"/>
          <w:sz w:val="24"/>
          <w:szCs w:val="24"/>
        </w:rPr>
      </w:pPr>
    </w:p>
    <w:p w14:paraId="56F2665C" w14:textId="40BCF73F" w:rsidR="003925FA" w:rsidRPr="006A5B35" w:rsidRDefault="18EFB8F5" w:rsidP="18EFB8F5">
      <w:pPr>
        <w:pStyle w:val="BodyText"/>
        <w:ind w:left="1440"/>
        <w:rPr>
          <w:rFonts w:asciiTheme="minorHAnsi" w:hAnsiTheme="minorHAnsi" w:cstheme="minorHAnsi"/>
          <w:sz w:val="24"/>
          <w:szCs w:val="24"/>
        </w:rPr>
      </w:pPr>
      <w:r w:rsidRPr="006A5B35">
        <w:rPr>
          <w:rFonts w:asciiTheme="minorHAnsi" w:hAnsiTheme="minorHAnsi" w:cstheme="minorHAnsi"/>
          <w:sz w:val="24"/>
          <w:szCs w:val="24"/>
        </w:rPr>
        <w:t xml:space="preserve">EXCEPTION </w:t>
      </w:r>
      <w:r w:rsidR="00704210" w:rsidRPr="006A5B35">
        <w:rPr>
          <w:rFonts w:asciiTheme="minorHAnsi" w:hAnsiTheme="minorHAnsi" w:cstheme="minorHAnsi"/>
          <w:sz w:val="24"/>
          <w:szCs w:val="24"/>
        </w:rPr>
        <w:t xml:space="preserve">1 </w:t>
      </w:r>
      <w:r w:rsidRPr="006A5B35">
        <w:rPr>
          <w:rFonts w:asciiTheme="minorHAnsi" w:hAnsiTheme="minorHAnsi" w:cstheme="minorHAnsi"/>
          <w:sz w:val="24"/>
          <w:szCs w:val="24"/>
        </w:rPr>
        <w:t>to Section 150.1(b)1. A community shared solar electric generation system, or other renewable electric generation system, and/or community shared battery storage system, which provides dedicated power, utility energy reduction credits, or payments for energy bill reductions, to the permitted building and is approved by the Energy Commission as specified in Title 24, Part 1, Section 10-115, may offset part or all of the solar electric generation system Energy Design Rating required to comply with the Standards, as calculated according to methods established by the Commission in the Residential ACM Reference Manual.</w:t>
      </w:r>
    </w:p>
    <w:p w14:paraId="2A61C353" w14:textId="77777777" w:rsidR="00704210" w:rsidRPr="006A5B35" w:rsidRDefault="00704210" w:rsidP="18EFB8F5">
      <w:pPr>
        <w:pStyle w:val="BodyText"/>
        <w:ind w:left="1440"/>
        <w:rPr>
          <w:rFonts w:asciiTheme="minorHAnsi" w:hAnsiTheme="minorHAnsi" w:cstheme="minorHAnsi"/>
          <w:sz w:val="24"/>
          <w:szCs w:val="24"/>
        </w:rPr>
      </w:pPr>
    </w:p>
    <w:p w14:paraId="2C2D731E" w14:textId="77777777" w:rsidR="00522C1F" w:rsidRPr="00522C1F" w:rsidRDefault="00522C1F" w:rsidP="00522C1F">
      <w:pPr>
        <w:pStyle w:val="BodyText"/>
        <w:ind w:left="1440"/>
        <w:rPr>
          <w:rFonts w:asciiTheme="minorHAnsi" w:hAnsiTheme="minorHAnsi" w:cstheme="minorBidi"/>
          <w:sz w:val="24"/>
          <w:szCs w:val="24"/>
          <w:u w:val="single"/>
        </w:rPr>
      </w:pPr>
      <w:commentRangeStart w:id="3"/>
      <w:r w:rsidRPr="00522C1F">
        <w:rPr>
          <w:rFonts w:asciiTheme="minorHAnsi" w:hAnsiTheme="minorHAnsi" w:cstheme="minorBidi"/>
          <w:sz w:val="24"/>
          <w:szCs w:val="24"/>
          <w:u w:val="single"/>
        </w:rPr>
        <w:t xml:space="preserve">EXCEPTION 2 to Section 150.1(b)1. A newly constructed building with a conditioned floor area less than 1,500 square feet shall achieve a Source Energy </w:t>
      </w:r>
      <w:r w:rsidRPr="00522C1F">
        <w:rPr>
          <w:rFonts w:asciiTheme="minorHAnsi" w:hAnsiTheme="minorHAnsi" w:cstheme="minorBidi"/>
          <w:sz w:val="24"/>
          <w:szCs w:val="24"/>
          <w:u w:val="single"/>
        </w:rPr>
        <w:lastRenderedPageBreak/>
        <w:t xml:space="preserve">compliance margin of </w:t>
      </w:r>
      <w:r w:rsidRPr="00522C1F">
        <w:rPr>
          <w:rFonts w:asciiTheme="minorHAnsi" w:hAnsiTheme="minorHAnsi" w:cstheme="minorBidi"/>
          <w:sz w:val="24"/>
          <w:szCs w:val="24"/>
          <w:highlight w:val="yellow"/>
          <w:u w:val="single"/>
        </w:rPr>
        <w:t>[x</w:t>
      </w:r>
      <w:r w:rsidRPr="00522C1F">
        <w:rPr>
          <w:rFonts w:asciiTheme="minorHAnsi" w:hAnsiTheme="minorHAnsi" w:cstheme="minorBidi"/>
          <w:sz w:val="24"/>
          <w:szCs w:val="24"/>
          <w:u w:val="single"/>
        </w:rPr>
        <w:t>]</w:t>
      </w:r>
      <w:commentRangeStart w:id="4"/>
      <w:r w:rsidRPr="00522C1F">
        <w:rPr>
          <w:rFonts w:asciiTheme="minorHAnsi" w:hAnsiTheme="minorHAnsi" w:cstheme="minorBidi"/>
          <w:sz w:val="24"/>
          <w:szCs w:val="24"/>
          <w:u w:val="single"/>
        </w:rPr>
        <w:t xml:space="preserve"> </w:t>
      </w:r>
      <w:commentRangeEnd w:id="4"/>
      <w:r w:rsidRPr="00522C1F">
        <w:rPr>
          <w:rStyle w:val="CommentReference"/>
          <w:rFonts w:asciiTheme="minorHAnsi" w:eastAsiaTheme="minorHAnsi" w:hAnsiTheme="minorHAnsi" w:cstheme="minorBidi"/>
          <w:u w:val="single"/>
          <w:lang w:bidi="ar-SA"/>
        </w:rPr>
        <w:commentReference w:id="4"/>
      </w:r>
      <w:r w:rsidRPr="00522C1F">
        <w:rPr>
          <w:rFonts w:asciiTheme="minorHAnsi" w:hAnsiTheme="minorHAnsi" w:cstheme="minorBidi"/>
          <w:sz w:val="24"/>
          <w:szCs w:val="24"/>
          <w:u w:val="single"/>
        </w:rPr>
        <w:t>or greater, relative to the Source Energy Design Rating 1 calculated for the Standard Design building.</w:t>
      </w:r>
      <w:r w:rsidRPr="00522C1F">
        <w:rPr>
          <w:rFonts w:asciiTheme="minorHAnsi" w:hAnsiTheme="minorHAnsi" w:cstheme="minorHAnsi"/>
          <w:sz w:val="24"/>
          <w:szCs w:val="24"/>
          <w:u w:val="single"/>
        </w:rPr>
        <w:t xml:space="preserve"> </w:t>
      </w:r>
    </w:p>
    <w:p w14:paraId="66A6146C" w14:textId="77777777" w:rsidR="00522C1F" w:rsidRPr="00522C1F" w:rsidRDefault="00522C1F" w:rsidP="00522C1F">
      <w:pPr>
        <w:pStyle w:val="BodyText"/>
        <w:rPr>
          <w:rFonts w:asciiTheme="minorHAnsi" w:hAnsiTheme="minorHAnsi" w:cstheme="minorBidi"/>
          <w:sz w:val="24"/>
          <w:szCs w:val="24"/>
          <w:u w:val="single"/>
        </w:rPr>
      </w:pPr>
    </w:p>
    <w:p w14:paraId="0C6A6880" w14:textId="77777777" w:rsidR="00522C1F" w:rsidRPr="00522C1F" w:rsidRDefault="00522C1F" w:rsidP="00522C1F">
      <w:pPr>
        <w:pStyle w:val="BodyText"/>
        <w:ind w:left="1440"/>
        <w:rPr>
          <w:rFonts w:asciiTheme="minorHAnsi" w:hAnsiTheme="minorHAnsi" w:cstheme="minorBidi"/>
          <w:sz w:val="24"/>
          <w:szCs w:val="24"/>
          <w:u w:val="single"/>
        </w:rPr>
      </w:pPr>
      <w:r w:rsidRPr="00522C1F">
        <w:rPr>
          <w:rFonts w:asciiTheme="minorHAnsi" w:hAnsiTheme="minorHAnsi" w:cstheme="minorBidi"/>
          <w:sz w:val="24"/>
          <w:szCs w:val="24"/>
          <w:u w:val="single"/>
        </w:rPr>
        <w:t xml:space="preserve">EXCEPTION 3 to Section 150.1(b)1. </w:t>
      </w:r>
      <w:r>
        <w:rPr>
          <w:rFonts w:asciiTheme="minorHAnsi" w:hAnsiTheme="minorHAnsi" w:cstheme="minorBidi"/>
          <w:sz w:val="24"/>
          <w:szCs w:val="24"/>
          <w:u w:val="single"/>
        </w:rPr>
        <w:t>If a</w:t>
      </w:r>
      <w:r w:rsidRPr="00B65DB7">
        <w:rPr>
          <w:rFonts w:asciiTheme="minorHAnsi" w:hAnsiTheme="minorHAnsi" w:cstheme="minorBidi"/>
          <w:sz w:val="24"/>
          <w:szCs w:val="24"/>
          <w:u w:val="single"/>
        </w:rPr>
        <w:t xml:space="preserve"> newly constructed building with a conditioned floor area less than </w:t>
      </w:r>
      <w:r>
        <w:rPr>
          <w:rFonts w:asciiTheme="minorHAnsi" w:hAnsiTheme="minorHAnsi" w:cstheme="minorBidi"/>
          <w:sz w:val="24"/>
          <w:szCs w:val="24"/>
          <w:u w:val="single"/>
        </w:rPr>
        <w:t>625</w:t>
      </w:r>
      <w:r w:rsidRPr="00B65DB7">
        <w:rPr>
          <w:rFonts w:asciiTheme="minorHAnsi" w:hAnsiTheme="minorHAnsi" w:cstheme="minorBidi"/>
          <w:sz w:val="24"/>
          <w:szCs w:val="24"/>
          <w:u w:val="single"/>
        </w:rPr>
        <w:t xml:space="preserve"> square feet </w:t>
      </w:r>
      <w:r>
        <w:rPr>
          <w:rFonts w:asciiTheme="minorHAnsi" w:hAnsiTheme="minorHAnsi" w:cstheme="minorBidi"/>
          <w:sz w:val="24"/>
          <w:szCs w:val="24"/>
          <w:u w:val="single"/>
        </w:rPr>
        <w:t xml:space="preserve">demonstrates that due to conditions specific to the project it </w:t>
      </w:r>
      <w:r w:rsidRPr="00522C1F">
        <w:rPr>
          <w:rFonts w:asciiTheme="minorHAnsi" w:hAnsiTheme="minorHAnsi" w:cstheme="minorBidi"/>
          <w:sz w:val="24"/>
          <w:szCs w:val="24"/>
          <w:u w:val="single"/>
        </w:rPr>
        <w:t>is technically infeasible to achieve compliance, the Building Official may reduce the compliance margin</w:t>
      </w:r>
      <w:r>
        <w:rPr>
          <w:rFonts w:asciiTheme="minorHAnsi" w:hAnsiTheme="minorHAnsi" w:cstheme="minorBidi"/>
          <w:sz w:val="24"/>
          <w:szCs w:val="24"/>
          <w:u w:val="single"/>
        </w:rPr>
        <w:t>.</w:t>
      </w:r>
      <w:commentRangeEnd w:id="3"/>
      <w:r>
        <w:rPr>
          <w:rStyle w:val="CommentReference"/>
          <w:rFonts w:asciiTheme="minorHAnsi" w:eastAsiaTheme="minorHAnsi" w:hAnsiTheme="minorHAnsi" w:cstheme="minorBidi"/>
          <w:lang w:bidi="ar-SA"/>
        </w:rPr>
        <w:commentReference w:id="3"/>
      </w:r>
    </w:p>
    <w:p w14:paraId="140EC36F" w14:textId="77777777" w:rsidR="0013643E" w:rsidRPr="006A5B35" w:rsidRDefault="0013643E" w:rsidP="0013643E">
      <w:pPr>
        <w:pStyle w:val="BodyText"/>
        <w:ind w:left="1440"/>
        <w:rPr>
          <w:rFonts w:asciiTheme="minorHAnsi" w:hAnsiTheme="minorHAnsi" w:cstheme="minorHAnsi"/>
          <w:sz w:val="24"/>
          <w:szCs w:val="24"/>
        </w:rPr>
      </w:pPr>
    </w:p>
    <w:p w14:paraId="03E42F15" w14:textId="77777777" w:rsidR="0013643E" w:rsidRPr="006A5B35" w:rsidRDefault="003925FA" w:rsidP="18EFB8F5">
      <w:pPr>
        <w:pStyle w:val="ListParagraph"/>
        <w:numPr>
          <w:ilvl w:val="1"/>
          <w:numId w:val="16"/>
        </w:numPr>
        <w:spacing w:after="0" w:line="240" w:lineRule="auto"/>
        <w:ind w:left="1440" w:hanging="720"/>
        <w:jc w:val="left"/>
        <w:rPr>
          <w:rFonts w:cstheme="minorHAnsi"/>
          <w:sz w:val="24"/>
          <w:szCs w:val="24"/>
        </w:rPr>
      </w:pPr>
      <w:r w:rsidRPr="006A5B35">
        <w:rPr>
          <w:rFonts w:cstheme="minorHAnsi"/>
          <w:sz w:val="24"/>
          <w:szCs w:val="24"/>
        </w:rPr>
        <w:t>Additions and Alterations to Existing Buildings. The Energy Budget for additions and alterations is expressed in terms of TDV</w:t>
      </w:r>
      <w:r w:rsidRPr="006A5B35">
        <w:rPr>
          <w:rFonts w:cstheme="minorHAnsi"/>
          <w:spacing w:val="-4"/>
          <w:sz w:val="24"/>
          <w:szCs w:val="24"/>
        </w:rPr>
        <w:t xml:space="preserve"> </w:t>
      </w:r>
      <w:r w:rsidRPr="006A5B35">
        <w:rPr>
          <w:rFonts w:cstheme="minorHAnsi"/>
          <w:sz w:val="24"/>
          <w:szCs w:val="24"/>
        </w:rPr>
        <w:t xml:space="preserve">energy.  </w:t>
      </w:r>
    </w:p>
    <w:p w14:paraId="79247DED" w14:textId="05680DC0" w:rsidR="003925FA" w:rsidRPr="006A5B35" w:rsidRDefault="18EFB8F5" w:rsidP="00315FE2">
      <w:pPr>
        <w:pStyle w:val="ListParagraph"/>
        <w:widowControl w:val="0"/>
        <w:numPr>
          <w:ilvl w:val="1"/>
          <w:numId w:val="16"/>
        </w:numPr>
        <w:autoSpaceDE w:val="0"/>
        <w:autoSpaceDN w:val="0"/>
        <w:spacing w:after="0" w:line="240" w:lineRule="auto"/>
        <w:ind w:left="1440" w:hanging="690"/>
        <w:contextualSpacing w:val="0"/>
        <w:jc w:val="left"/>
        <w:rPr>
          <w:rFonts w:cstheme="minorHAnsi"/>
          <w:sz w:val="24"/>
          <w:szCs w:val="24"/>
        </w:rPr>
      </w:pPr>
      <w:r w:rsidRPr="006A5B35">
        <w:rPr>
          <w:rFonts w:cstheme="minorHAnsi"/>
          <w:sz w:val="24"/>
          <w:szCs w:val="24"/>
        </w:rPr>
        <w:t xml:space="preserve">Section (b)(3) is adopted without modification.  </w:t>
      </w:r>
    </w:p>
    <w:p w14:paraId="07FFD8A0" w14:textId="77777777" w:rsidR="003925FA" w:rsidRPr="006A5B35" w:rsidRDefault="003925FA" w:rsidP="003925FA">
      <w:pPr>
        <w:rPr>
          <w:rFonts w:cstheme="minorHAnsi"/>
          <w:sz w:val="24"/>
          <w:szCs w:val="24"/>
        </w:rPr>
      </w:pPr>
    </w:p>
    <w:p w14:paraId="014CD0D4" w14:textId="2A0B2E2D" w:rsidR="007A59FE" w:rsidRPr="006A5B35" w:rsidRDefault="18EFB8F5" w:rsidP="18EFB8F5">
      <w:pPr>
        <w:pStyle w:val="ListParagraph"/>
        <w:widowControl w:val="0"/>
        <w:numPr>
          <w:ilvl w:val="0"/>
          <w:numId w:val="16"/>
        </w:numPr>
        <w:spacing w:after="0" w:line="240" w:lineRule="auto"/>
        <w:ind w:left="720" w:hanging="720"/>
        <w:jc w:val="left"/>
        <w:rPr>
          <w:rFonts w:eastAsia="CIDFont+F1" w:cstheme="minorHAnsi"/>
          <w:sz w:val="24"/>
          <w:szCs w:val="24"/>
        </w:rPr>
      </w:pPr>
      <w:r w:rsidRPr="006A5B35">
        <w:rPr>
          <w:rFonts w:eastAsia="CIDFont+F1" w:cstheme="minorHAnsi"/>
          <w:sz w:val="24"/>
          <w:szCs w:val="24"/>
        </w:rPr>
        <w:t>Section (c) is adopted without modification.</w:t>
      </w:r>
    </w:p>
    <w:p w14:paraId="3314EE2E" w14:textId="77777777" w:rsidR="002D2F34" w:rsidRPr="006A5B35" w:rsidRDefault="002D2F34" w:rsidP="008E79D2">
      <w:pPr>
        <w:rPr>
          <w:rFonts w:cstheme="minorHAnsi"/>
          <w:sz w:val="24"/>
          <w:szCs w:val="24"/>
        </w:rPr>
      </w:pPr>
    </w:p>
    <w:p w14:paraId="69659D54" w14:textId="77777777" w:rsidR="00B557CB" w:rsidRPr="006A5B35" w:rsidRDefault="00B557CB">
      <w:pPr>
        <w:rPr>
          <w:rFonts w:eastAsiaTheme="majorEastAsia" w:cstheme="minorHAnsi"/>
          <w:color w:val="2F5496" w:themeColor="accent1" w:themeShade="BF"/>
          <w:sz w:val="24"/>
          <w:szCs w:val="24"/>
        </w:rPr>
      </w:pPr>
      <w:r w:rsidRPr="006A5B35">
        <w:rPr>
          <w:rFonts w:cstheme="minorHAnsi"/>
          <w:sz w:val="24"/>
          <w:szCs w:val="24"/>
        </w:rPr>
        <w:br w:type="page"/>
      </w:r>
    </w:p>
    <w:p w14:paraId="2CD61E4B" w14:textId="39B82B65" w:rsidR="00352D38" w:rsidRPr="006A5B35" w:rsidRDefault="00420AA7" w:rsidP="00F56499">
      <w:pPr>
        <w:pStyle w:val="Heading1"/>
        <w:rPr>
          <w:rFonts w:asciiTheme="minorHAnsi" w:hAnsiTheme="minorHAnsi" w:cstheme="minorHAnsi"/>
          <w:szCs w:val="24"/>
        </w:rPr>
      </w:pPr>
      <w:r w:rsidRPr="006A5B35">
        <w:rPr>
          <w:rFonts w:asciiTheme="minorHAnsi" w:hAnsiTheme="minorHAnsi" w:cstheme="minorHAnsi"/>
          <w:szCs w:val="24"/>
        </w:rPr>
        <w:lastRenderedPageBreak/>
        <w:t xml:space="preserve">SUBCHAPTER 10 </w:t>
      </w:r>
    </w:p>
    <w:p w14:paraId="61804E93" w14:textId="7F319961" w:rsidR="00420AA7" w:rsidRPr="006A5B35" w:rsidRDefault="00420AA7" w:rsidP="0049345A">
      <w:pPr>
        <w:pStyle w:val="Heading2"/>
        <w:rPr>
          <w:rFonts w:asciiTheme="minorHAnsi" w:hAnsiTheme="minorHAnsi" w:cstheme="minorHAnsi"/>
          <w:sz w:val="24"/>
          <w:szCs w:val="24"/>
        </w:rPr>
      </w:pPr>
      <w:r w:rsidRPr="006A5B35">
        <w:rPr>
          <w:rFonts w:asciiTheme="minorHAnsi" w:hAnsiTheme="minorHAnsi" w:cstheme="minorHAnsi"/>
          <w:sz w:val="24"/>
          <w:szCs w:val="24"/>
        </w:rPr>
        <w:t>MULTIFAMILY BUILDINGS-MANDATORY REQUIREMENTS</w:t>
      </w:r>
    </w:p>
    <w:p w14:paraId="2C4A9C42" w14:textId="77777777" w:rsidR="001F69E1" w:rsidRPr="006A5B35" w:rsidRDefault="005B659D" w:rsidP="00BF70CB">
      <w:pPr>
        <w:pStyle w:val="Heading3"/>
        <w:rPr>
          <w:rFonts w:asciiTheme="minorHAnsi" w:hAnsiTheme="minorHAnsi" w:cstheme="minorHAnsi"/>
        </w:rPr>
      </w:pPr>
      <w:r w:rsidRPr="006A5B35">
        <w:rPr>
          <w:rFonts w:asciiTheme="minorHAnsi" w:hAnsiTheme="minorHAnsi" w:cstheme="minorHAnsi"/>
        </w:rPr>
        <w:t>SECTION 160.</w:t>
      </w:r>
      <w:r w:rsidR="00E2722F" w:rsidRPr="006A5B35">
        <w:rPr>
          <w:rFonts w:asciiTheme="minorHAnsi" w:hAnsiTheme="minorHAnsi" w:cstheme="minorHAnsi"/>
        </w:rPr>
        <w:t>4</w:t>
      </w:r>
      <w:r w:rsidR="00320AB5" w:rsidRPr="006A5B35">
        <w:rPr>
          <w:rFonts w:asciiTheme="minorHAnsi" w:hAnsiTheme="minorHAnsi" w:cstheme="minorHAnsi"/>
        </w:rPr>
        <w:t xml:space="preserve"> MANDATORY REQUIREMENTS FOR WATER HEATING SYSTEMS </w:t>
      </w:r>
    </w:p>
    <w:p w14:paraId="5422DDDB" w14:textId="3647EC03" w:rsidR="00EB704F" w:rsidRPr="006A5B35" w:rsidRDefault="0053094C" w:rsidP="00A41C5A">
      <w:pPr>
        <w:rPr>
          <w:rFonts w:cstheme="minorHAnsi"/>
          <w:sz w:val="24"/>
          <w:szCs w:val="24"/>
        </w:rPr>
      </w:pPr>
      <w:r w:rsidRPr="006A5B35">
        <w:rPr>
          <w:rFonts w:cstheme="minorHAnsi"/>
          <w:sz w:val="24"/>
          <w:szCs w:val="24"/>
        </w:rPr>
        <w:t xml:space="preserve">Section 160.4 </w:t>
      </w:r>
      <w:r w:rsidR="00EB704F" w:rsidRPr="006A5B35">
        <w:rPr>
          <w:rFonts w:cstheme="minorHAnsi"/>
          <w:sz w:val="24"/>
          <w:szCs w:val="24"/>
        </w:rPr>
        <w:t>is amended to remove subsection (a) as follows:</w:t>
      </w:r>
    </w:p>
    <w:p w14:paraId="58A5FC90" w14:textId="1DFDC842" w:rsidR="00EB704F" w:rsidRPr="006A5B35" w:rsidRDefault="00EB704F" w:rsidP="00A41C5A">
      <w:pPr>
        <w:ind w:left="720"/>
        <w:rPr>
          <w:rFonts w:cstheme="minorHAnsi"/>
          <w:b/>
          <w:strike/>
          <w:sz w:val="24"/>
          <w:szCs w:val="24"/>
        </w:rPr>
      </w:pPr>
      <w:r w:rsidRPr="006A5B35">
        <w:rPr>
          <w:rFonts w:cstheme="minorHAnsi"/>
          <w:sz w:val="24"/>
          <w:szCs w:val="24"/>
        </w:rPr>
        <w:t>(a)</w:t>
      </w:r>
      <w:r w:rsidRPr="006A5B35">
        <w:rPr>
          <w:rFonts w:cstheme="minorHAnsi"/>
          <w:sz w:val="24"/>
          <w:szCs w:val="24"/>
        </w:rPr>
        <w:tab/>
      </w:r>
      <w:r w:rsidR="00B557CB" w:rsidRPr="006A5B35">
        <w:rPr>
          <w:rFonts w:cstheme="minorHAnsi"/>
          <w:sz w:val="24"/>
          <w:szCs w:val="24"/>
          <w:u w:val="single"/>
        </w:rPr>
        <w:t>Reserved.</w:t>
      </w:r>
      <w:r w:rsidR="00B557CB" w:rsidRPr="006A5B35">
        <w:rPr>
          <w:rFonts w:cstheme="minorHAnsi"/>
          <w:sz w:val="24"/>
          <w:szCs w:val="24"/>
        </w:rPr>
        <w:t xml:space="preserve"> </w:t>
      </w:r>
      <w:r w:rsidRPr="006A5B35">
        <w:rPr>
          <w:rFonts w:cstheme="minorHAnsi"/>
          <w:strike/>
          <w:sz w:val="24"/>
          <w:szCs w:val="24"/>
        </w:rPr>
        <w:t>Systems using gas or propane water heaters to serve individual dwelling units shall include the following components:</w:t>
      </w:r>
    </w:p>
    <w:p w14:paraId="72D710A1" w14:textId="77777777" w:rsidR="00EB704F" w:rsidRPr="006A5B35" w:rsidRDefault="00EB704F" w:rsidP="00A41C5A">
      <w:pPr>
        <w:ind w:left="720"/>
        <w:rPr>
          <w:rFonts w:cstheme="minorHAnsi"/>
          <w:b/>
          <w:strike/>
          <w:sz w:val="24"/>
          <w:szCs w:val="24"/>
        </w:rPr>
      </w:pPr>
      <w:r w:rsidRPr="006A5B35">
        <w:rPr>
          <w:rFonts w:cstheme="minorHAnsi"/>
          <w:strike/>
          <w:sz w:val="24"/>
          <w:szCs w:val="24"/>
        </w:rPr>
        <w:t>1.</w:t>
      </w:r>
      <w:r w:rsidRPr="006A5B35">
        <w:rPr>
          <w:rFonts w:cstheme="minorHAnsi"/>
          <w:strike/>
          <w:sz w:val="24"/>
          <w:szCs w:val="24"/>
        </w:rPr>
        <w:tab/>
        <w:t xml:space="preserve">A dedicated </w:t>
      </w:r>
      <w:proofErr w:type="gramStart"/>
      <w:r w:rsidRPr="006A5B35">
        <w:rPr>
          <w:rFonts w:cstheme="minorHAnsi"/>
          <w:strike/>
          <w:sz w:val="24"/>
          <w:szCs w:val="24"/>
        </w:rPr>
        <w:t>125 volt</w:t>
      </w:r>
      <w:proofErr w:type="gramEnd"/>
      <w:r w:rsidRPr="006A5B35">
        <w:rPr>
          <w:rFonts w:cstheme="minorHAnsi"/>
          <w:strike/>
          <w:sz w:val="24"/>
          <w:szCs w:val="24"/>
        </w:rPr>
        <w:t xml:space="preserve">, 20 amp electrical receptacle that is connected to the electric panel with a 120/240 volt 3 conductor, 10 AWG copper branch circuit, within 3 feet from the water heater and accessible to the water heater with no obstructions. In addition, </w:t>
      </w:r>
      <w:proofErr w:type="gramStart"/>
      <w:r w:rsidRPr="006A5B35">
        <w:rPr>
          <w:rFonts w:cstheme="minorHAnsi"/>
          <w:strike/>
          <w:sz w:val="24"/>
          <w:szCs w:val="24"/>
        </w:rPr>
        <w:t>all of</w:t>
      </w:r>
      <w:proofErr w:type="gramEnd"/>
      <w:r w:rsidRPr="006A5B35">
        <w:rPr>
          <w:rFonts w:cstheme="minorHAnsi"/>
          <w:strike/>
          <w:sz w:val="24"/>
          <w:szCs w:val="24"/>
        </w:rPr>
        <w:t xml:space="preserve"> the following:</w:t>
      </w:r>
    </w:p>
    <w:p w14:paraId="3FA5D50B" w14:textId="77777777" w:rsidR="00EB704F" w:rsidRPr="006A5B35" w:rsidRDefault="00EB704F" w:rsidP="00A41C5A">
      <w:pPr>
        <w:ind w:left="720"/>
        <w:rPr>
          <w:rFonts w:cstheme="minorHAnsi"/>
          <w:b/>
          <w:strike/>
          <w:sz w:val="24"/>
          <w:szCs w:val="24"/>
        </w:rPr>
      </w:pPr>
      <w:r w:rsidRPr="006A5B35">
        <w:rPr>
          <w:rFonts w:cstheme="minorHAnsi"/>
          <w:strike/>
          <w:sz w:val="24"/>
          <w:szCs w:val="24"/>
        </w:rPr>
        <w:t>A.</w:t>
      </w:r>
      <w:r w:rsidRPr="006A5B35">
        <w:rPr>
          <w:rFonts w:cstheme="minorHAnsi"/>
          <w:strike/>
          <w:sz w:val="24"/>
          <w:szCs w:val="24"/>
        </w:rPr>
        <w:tab/>
        <w:t>Both ends of the unused conductor shall be labeled with the word “spare” and be electrically isolated; and</w:t>
      </w:r>
    </w:p>
    <w:p w14:paraId="57EAD7D8" w14:textId="77777777" w:rsidR="00EB704F" w:rsidRPr="006A5B35" w:rsidRDefault="00EB704F" w:rsidP="00A41C5A">
      <w:pPr>
        <w:ind w:left="720"/>
        <w:rPr>
          <w:rFonts w:cstheme="minorHAnsi"/>
          <w:b/>
          <w:strike/>
          <w:sz w:val="24"/>
          <w:szCs w:val="24"/>
        </w:rPr>
      </w:pPr>
      <w:r w:rsidRPr="006A5B35">
        <w:rPr>
          <w:rFonts w:cstheme="minorHAnsi"/>
          <w:strike/>
          <w:sz w:val="24"/>
          <w:szCs w:val="24"/>
        </w:rPr>
        <w:t>B.</w:t>
      </w:r>
      <w:r w:rsidRPr="006A5B35">
        <w:rPr>
          <w:rFonts w:cstheme="minorHAnsi"/>
          <w:strike/>
          <w:sz w:val="24"/>
          <w:szCs w:val="24"/>
        </w:rPr>
        <w:tab/>
        <w:t>A reserved single pole circuit breaker space in the electrical panel adjacent to the circuit breaker for the branch circuit in A above and labeled with the words “Future 240V Use”; and</w:t>
      </w:r>
    </w:p>
    <w:p w14:paraId="676752EE" w14:textId="77777777" w:rsidR="00EB704F" w:rsidRPr="006A5B35" w:rsidRDefault="00EB704F" w:rsidP="00A41C5A">
      <w:pPr>
        <w:ind w:left="720"/>
        <w:rPr>
          <w:rFonts w:cstheme="minorHAnsi"/>
          <w:b/>
          <w:strike/>
          <w:sz w:val="24"/>
          <w:szCs w:val="24"/>
        </w:rPr>
      </w:pPr>
      <w:r w:rsidRPr="006A5B35">
        <w:rPr>
          <w:rFonts w:cstheme="minorHAnsi"/>
          <w:strike/>
          <w:sz w:val="24"/>
          <w:szCs w:val="24"/>
        </w:rPr>
        <w:t>2.</w:t>
      </w:r>
      <w:r w:rsidRPr="006A5B35">
        <w:rPr>
          <w:rFonts w:cstheme="minorHAnsi"/>
          <w:strike/>
          <w:sz w:val="24"/>
          <w:szCs w:val="24"/>
        </w:rPr>
        <w:tab/>
        <w:t>A Category III or IV vent, or a Type B vent with straight pipe between the outside termination and the space where the water heater is installed; and</w:t>
      </w:r>
    </w:p>
    <w:p w14:paraId="01E57006" w14:textId="77777777" w:rsidR="00EB704F" w:rsidRPr="006A5B35" w:rsidRDefault="00EB704F" w:rsidP="00A41C5A">
      <w:pPr>
        <w:ind w:left="720"/>
        <w:rPr>
          <w:rFonts w:cstheme="minorHAnsi"/>
          <w:b/>
          <w:strike/>
          <w:sz w:val="24"/>
          <w:szCs w:val="24"/>
        </w:rPr>
      </w:pPr>
      <w:r w:rsidRPr="006A5B35">
        <w:rPr>
          <w:rFonts w:cstheme="minorHAnsi"/>
          <w:strike/>
          <w:sz w:val="24"/>
          <w:szCs w:val="24"/>
        </w:rPr>
        <w:t>3.</w:t>
      </w:r>
      <w:r w:rsidRPr="006A5B35">
        <w:rPr>
          <w:rFonts w:cstheme="minorHAnsi"/>
          <w:strike/>
          <w:sz w:val="24"/>
          <w:szCs w:val="24"/>
        </w:rPr>
        <w:tab/>
        <w:t>A condensate drain that is no more than 2 inches higher than the base of the installed water heater, and allows natural draining without pump assistance; and</w:t>
      </w:r>
    </w:p>
    <w:p w14:paraId="61E70321" w14:textId="6F6BD15E" w:rsidR="00EB704F" w:rsidRPr="006A5B35" w:rsidRDefault="00EB704F" w:rsidP="00A41C5A">
      <w:pPr>
        <w:ind w:left="720"/>
        <w:rPr>
          <w:rFonts w:cstheme="minorHAnsi"/>
          <w:b/>
          <w:sz w:val="24"/>
          <w:szCs w:val="24"/>
        </w:rPr>
      </w:pPr>
      <w:r w:rsidRPr="006A5B35">
        <w:rPr>
          <w:rFonts w:cstheme="minorHAnsi"/>
          <w:strike/>
          <w:sz w:val="24"/>
          <w:szCs w:val="24"/>
        </w:rPr>
        <w:t>4.</w:t>
      </w:r>
      <w:r w:rsidRPr="006A5B35">
        <w:rPr>
          <w:rFonts w:cstheme="minorHAnsi"/>
          <w:strike/>
          <w:sz w:val="24"/>
          <w:szCs w:val="24"/>
        </w:rPr>
        <w:tab/>
        <w:t>A gas supply line with a capacity of at least 200,000 Btu/hr.</w:t>
      </w:r>
    </w:p>
    <w:p w14:paraId="32854B12" w14:textId="427EE09B" w:rsidR="003870BA" w:rsidRPr="006A5B35" w:rsidRDefault="00EB704F" w:rsidP="00A41C5A">
      <w:pPr>
        <w:ind w:left="720"/>
        <w:rPr>
          <w:rFonts w:cstheme="minorHAnsi"/>
          <w:sz w:val="24"/>
          <w:szCs w:val="24"/>
        </w:rPr>
      </w:pPr>
      <w:r w:rsidRPr="006A5B35">
        <w:rPr>
          <w:rFonts w:cstheme="minorHAnsi"/>
          <w:sz w:val="24"/>
          <w:szCs w:val="24"/>
        </w:rPr>
        <w:t>Sections (b) to (f) are adopted without amendments.</w:t>
      </w:r>
    </w:p>
    <w:p w14:paraId="166C7B01" w14:textId="187B74C0" w:rsidR="0089384E" w:rsidRPr="006A5B35" w:rsidRDefault="007E2523" w:rsidP="00593802">
      <w:pPr>
        <w:pStyle w:val="Heading3"/>
        <w:rPr>
          <w:rFonts w:asciiTheme="minorHAnsi" w:hAnsiTheme="minorHAnsi" w:cstheme="minorHAnsi"/>
        </w:rPr>
      </w:pPr>
      <w:r w:rsidRPr="006A5B35">
        <w:rPr>
          <w:rFonts w:asciiTheme="minorHAnsi" w:hAnsiTheme="minorHAnsi" w:cstheme="minorHAnsi"/>
        </w:rPr>
        <w:t xml:space="preserve">SECTION </w:t>
      </w:r>
      <w:r w:rsidR="003870BA" w:rsidRPr="006A5B35">
        <w:rPr>
          <w:rFonts w:asciiTheme="minorHAnsi" w:hAnsiTheme="minorHAnsi" w:cstheme="minorHAnsi"/>
        </w:rPr>
        <w:t>160.9</w:t>
      </w:r>
      <w:r w:rsidR="00AE7230" w:rsidRPr="006A5B35">
        <w:rPr>
          <w:rFonts w:asciiTheme="minorHAnsi" w:hAnsiTheme="minorHAnsi" w:cstheme="minorHAnsi"/>
        </w:rPr>
        <w:t xml:space="preserve"> MANDATORY REQUIREMENTS FOR ELECTRIC READY BUILDINGS</w:t>
      </w:r>
    </w:p>
    <w:p w14:paraId="07EE7A10" w14:textId="3202C1C2" w:rsidR="0053094C" w:rsidRPr="006A5B35" w:rsidRDefault="18EFB8F5" w:rsidP="18EFB8F5">
      <w:pPr>
        <w:rPr>
          <w:rFonts w:cstheme="minorHAnsi"/>
          <w:sz w:val="24"/>
          <w:szCs w:val="24"/>
        </w:rPr>
      </w:pPr>
      <w:r w:rsidRPr="006A5B35">
        <w:rPr>
          <w:rFonts w:cstheme="minorHAnsi"/>
          <w:sz w:val="24"/>
          <w:szCs w:val="24"/>
        </w:rPr>
        <w:t>Section 160.9 Sections (a) to (c) are adopted without amendments. Sections (d) through (f) are added as follows:</w:t>
      </w:r>
    </w:p>
    <w:p w14:paraId="7997D9F8" w14:textId="77DB10CA" w:rsidR="00A76A64" w:rsidRPr="00A76A64" w:rsidRDefault="00A76A64" w:rsidP="00A76A64">
      <w:pPr>
        <w:pStyle w:val="ListParagraph"/>
        <w:numPr>
          <w:ilvl w:val="0"/>
          <w:numId w:val="16"/>
        </w:numPr>
        <w:jc w:val="left"/>
        <w:rPr>
          <w:rFonts w:cstheme="minorHAnsi"/>
          <w:spacing w:val="-2"/>
          <w:sz w:val="24"/>
          <w:szCs w:val="24"/>
          <w:u w:val="single"/>
        </w:rPr>
      </w:pPr>
      <w:r w:rsidRPr="00A76A64">
        <w:rPr>
          <w:rFonts w:cstheme="minorHAnsi"/>
          <w:spacing w:val="-2"/>
          <w:sz w:val="24"/>
          <w:szCs w:val="24"/>
          <w:u w:val="single"/>
        </w:rPr>
        <w:t>Individual Heat Pump Water Heater Ready. Systems using gas or propane water heaters to serve individual dwelling units shall include the following components and shall meet the requirements of Section 160.9(f):</w:t>
      </w:r>
    </w:p>
    <w:p w14:paraId="23F079B8" w14:textId="519208D0" w:rsidR="0008034C" w:rsidRPr="00A76A64" w:rsidRDefault="0008034C" w:rsidP="00A76A64">
      <w:pPr>
        <w:widowControl w:val="0"/>
        <w:autoSpaceDE w:val="0"/>
        <w:autoSpaceDN w:val="0"/>
        <w:spacing w:after="0" w:line="240" w:lineRule="auto"/>
        <w:rPr>
          <w:rFonts w:cstheme="minorHAnsi"/>
          <w:sz w:val="24"/>
          <w:szCs w:val="24"/>
          <w:u w:val="single"/>
        </w:rPr>
      </w:pPr>
    </w:p>
    <w:p w14:paraId="7D172C61" w14:textId="425A009D" w:rsidR="0008034C" w:rsidRPr="006A5B35" w:rsidRDefault="0008034C" w:rsidP="0008034C">
      <w:pPr>
        <w:pStyle w:val="ListParagraph"/>
        <w:widowControl w:val="0"/>
        <w:numPr>
          <w:ilvl w:val="1"/>
          <w:numId w:val="10"/>
        </w:numPr>
        <w:tabs>
          <w:tab w:val="left" w:pos="1054"/>
          <w:tab w:val="left" w:pos="1055"/>
        </w:tabs>
        <w:autoSpaceDE w:val="0"/>
        <w:autoSpaceDN w:val="0"/>
        <w:spacing w:before="178" w:after="0" w:line="240" w:lineRule="auto"/>
        <w:ind w:left="1054" w:hanging="361"/>
        <w:contextualSpacing w:val="0"/>
        <w:rPr>
          <w:rFonts w:cstheme="minorHAnsi"/>
          <w:sz w:val="24"/>
          <w:szCs w:val="24"/>
          <w:u w:val="single"/>
        </w:rPr>
      </w:pPr>
      <w:r w:rsidRPr="006A5B35">
        <w:rPr>
          <w:rFonts w:cstheme="minorHAnsi"/>
          <w:sz w:val="24"/>
          <w:szCs w:val="24"/>
          <w:u w:val="single"/>
        </w:rPr>
        <w:t xml:space="preserve">A dedicated </w:t>
      </w:r>
      <w:proofErr w:type="gramStart"/>
      <w:r w:rsidRPr="006A5B35">
        <w:rPr>
          <w:rFonts w:cstheme="minorHAnsi"/>
          <w:sz w:val="24"/>
          <w:szCs w:val="24"/>
          <w:u w:val="single"/>
        </w:rPr>
        <w:t>125 volt</w:t>
      </w:r>
      <w:proofErr w:type="gramEnd"/>
      <w:r w:rsidRPr="006A5B35">
        <w:rPr>
          <w:rFonts w:cstheme="minorHAnsi"/>
          <w:sz w:val="24"/>
          <w:szCs w:val="24"/>
          <w:u w:val="single"/>
        </w:rPr>
        <w:t xml:space="preserve">, 20 amp electrical receptacle that is connected to the electric panel with a 120/240 volt 3 conductor, copper branch circuit rated to 30 amps, within 3 feet from the water heater and accessible to the water heater with no obstructions. In addition, </w:t>
      </w:r>
      <w:proofErr w:type="gramStart"/>
      <w:r w:rsidRPr="006A5B35">
        <w:rPr>
          <w:rFonts w:cstheme="minorHAnsi"/>
          <w:sz w:val="24"/>
          <w:szCs w:val="24"/>
          <w:u w:val="single"/>
        </w:rPr>
        <w:t>all of</w:t>
      </w:r>
      <w:proofErr w:type="gramEnd"/>
      <w:r w:rsidRPr="006A5B35">
        <w:rPr>
          <w:rFonts w:cstheme="minorHAnsi"/>
          <w:sz w:val="24"/>
          <w:szCs w:val="24"/>
          <w:u w:val="single"/>
        </w:rPr>
        <w:t xml:space="preserve"> the following:</w:t>
      </w:r>
    </w:p>
    <w:p w14:paraId="7D0E8EBA" w14:textId="77777777" w:rsidR="0008034C" w:rsidRPr="006A5B35" w:rsidRDefault="0008034C" w:rsidP="00315FE2">
      <w:pPr>
        <w:pStyle w:val="ListParagraph"/>
        <w:widowControl w:val="0"/>
        <w:numPr>
          <w:ilvl w:val="2"/>
          <w:numId w:val="10"/>
        </w:numPr>
        <w:autoSpaceDE w:val="0"/>
        <w:autoSpaceDN w:val="0"/>
        <w:spacing w:before="121" w:after="0" w:line="240" w:lineRule="auto"/>
        <w:contextualSpacing w:val="0"/>
        <w:rPr>
          <w:rFonts w:cstheme="minorHAnsi"/>
          <w:sz w:val="24"/>
          <w:szCs w:val="24"/>
          <w:u w:val="single"/>
        </w:rPr>
      </w:pPr>
      <w:r w:rsidRPr="006A5B35">
        <w:rPr>
          <w:rFonts w:cstheme="minorHAnsi"/>
          <w:sz w:val="24"/>
          <w:szCs w:val="24"/>
          <w:u w:val="single"/>
        </w:rPr>
        <w:t xml:space="preserve">Both ends of the unused conductor shall be labeled with the word “spare” and be electrically isolated; and  </w:t>
      </w:r>
    </w:p>
    <w:p w14:paraId="328681C3" w14:textId="34826119" w:rsidR="0008034C" w:rsidRPr="006A5B35" w:rsidRDefault="18EFB8F5" w:rsidP="18EFB8F5">
      <w:pPr>
        <w:pStyle w:val="ListParagraph"/>
        <w:widowControl w:val="0"/>
        <w:numPr>
          <w:ilvl w:val="2"/>
          <w:numId w:val="10"/>
        </w:numPr>
        <w:autoSpaceDE w:val="0"/>
        <w:autoSpaceDN w:val="0"/>
        <w:spacing w:before="121" w:after="0" w:line="240" w:lineRule="auto"/>
        <w:rPr>
          <w:rFonts w:cstheme="minorHAnsi"/>
          <w:sz w:val="24"/>
          <w:szCs w:val="24"/>
          <w:u w:val="single"/>
        </w:rPr>
      </w:pPr>
      <w:r w:rsidRPr="006A5B35">
        <w:rPr>
          <w:rFonts w:cstheme="minorHAnsi"/>
          <w:sz w:val="24"/>
          <w:szCs w:val="24"/>
          <w:u w:val="single"/>
        </w:rPr>
        <w:lastRenderedPageBreak/>
        <w:t>A reserved single pole circuit breaker space in the electrical panel adjacent to the circuit breaker for the branch circuit in A above and labeled with the words “Future 240V Use</w:t>
      </w:r>
      <w:proofErr w:type="gramStart"/>
      <w:r w:rsidRPr="006A5B35">
        <w:rPr>
          <w:rFonts w:cstheme="minorHAnsi"/>
          <w:sz w:val="24"/>
          <w:szCs w:val="24"/>
          <w:u w:val="single"/>
        </w:rPr>
        <w:t>”;</w:t>
      </w:r>
      <w:proofErr w:type="gramEnd"/>
      <w:r w:rsidRPr="006A5B35">
        <w:rPr>
          <w:rFonts w:cstheme="minorHAnsi"/>
          <w:sz w:val="24"/>
          <w:szCs w:val="24"/>
          <w:u w:val="single"/>
        </w:rPr>
        <w:t xml:space="preserve"> </w:t>
      </w:r>
    </w:p>
    <w:p w14:paraId="6D2CE9FB" w14:textId="378B60AE" w:rsidR="0008034C" w:rsidRPr="006A5B35" w:rsidRDefault="18EFB8F5" w:rsidP="18EFB8F5">
      <w:pPr>
        <w:pStyle w:val="ListParagraph"/>
        <w:widowControl w:val="0"/>
        <w:numPr>
          <w:ilvl w:val="1"/>
          <w:numId w:val="10"/>
        </w:numPr>
        <w:tabs>
          <w:tab w:val="left" w:pos="1415"/>
        </w:tabs>
        <w:autoSpaceDE w:val="0"/>
        <w:autoSpaceDN w:val="0"/>
        <w:spacing w:after="0" w:line="256" w:lineRule="auto"/>
        <w:ind w:right="1058"/>
        <w:rPr>
          <w:rFonts w:cstheme="minorHAnsi"/>
          <w:sz w:val="24"/>
          <w:szCs w:val="24"/>
          <w:u w:val="single"/>
        </w:rPr>
      </w:pPr>
      <w:r w:rsidRPr="006A5B35">
        <w:rPr>
          <w:rFonts w:cstheme="minorHAnsi"/>
          <w:sz w:val="24"/>
          <w:szCs w:val="24"/>
          <w:u w:val="single"/>
        </w:rPr>
        <w:t xml:space="preserve">A condensate drain that is no more than 2 inches higher than the base of the installed water heater, and allows natural draining without pump assistance,  </w:t>
      </w:r>
    </w:p>
    <w:p w14:paraId="6F1941B6" w14:textId="77777777" w:rsidR="0008034C" w:rsidRPr="006A5B35" w:rsidRDefault="0008034C" w:rsidP="00315FE2">
      <w:pPr>
        <w:pStyle w:val="ListParagraph"/>
        <w:widowControl w:val="0"/>
        <w:numPr>
          <w:ilvl w:val="1"/>
          <w:numId w:val="10"/>
        </w:numPr>
        <w:autoSpaceDE w:val="0"/>
        <w:autoSpaceDN w:val="0"/>
        <w:spacing w:before="121" w:after="0" w:line="240" w:lineRule="auto"/>
        <w:contextualSpacing w:val="0"/>
        <w:rPr>
          <w:rFonts w:cstheme="minorHAnsi"/>
          <w:sz w:val="24"/>
          <w:szCs w:val="24"/>
          <w:u w:val="single"/>
        </w:rPr>
      </w:pPr>
      <w:r w:rsidRPr="006A5B35">
        <w:rPr>
          <w:rFonts w:cstheme="minorHAnsi"/>
          <w:sz w:val="24"/>
          <w:szCs w:val="24"/>
          <w:u w:val="single"/>
        </w:rPr>
        <w:t>The construction drawings shall indicate the location of the future heat pump water heater. The reserved location shall have minimum interior dimensions of 39”x39”</w:t>
      </w:r>
      <w:proofErr w:type="gramStart"/>
      <w:r w:rsidRPr="006A5B35">
        <w:rPr>
          <w:rFonts w:cstheme="minorHAnsi"/>
          <w:sz w:val="24"/>
          <w:szCs w:val="24"/>
          <w:u w:val="single"/>
        </w:rPr>
        <w:t>x96</w:t>
      </w:r>
      <w:proofErr w:type="gramEnd"/>
      <w:r w:rsidRPr="006A5B35">
        <w:rPr>
          <w:rFonts w:cstheme="minorHAnsi"/>
          <w:sz w:val="24"/>
          <w:szCs w:val="24"/>
          <w:u w:val="single"/>
        </w:rPr>
        <w:t xml:space="preserve">”  </w:t>
      </w:r>
    </w:p>
    <w:p w14:paraId="6B41E540" w14:textId="77777777" w:rsidR="00077B7C" w:rsidRPr="00191BAB" w:rsidRDefault="00077B7C" w:rsidP="00077B7C">
      <w:pPr>
        <w:pStyle w:val="ListParagraph"/>
        <w:widowControl w:val="0"/>
        <w:numPr>
          <w:ilvl w:val="1"/>
          <w:numId w:val="10"/>
        </w:numPr>
        <w:tabs>
          <w:tab w:val="left" w:pos="1054"/>
          <w:tab w:val="left" w:pos="1055"/>
        </w:tabs>
        <w:autoSpaceDE w:val="0"/>
        <w:autoSpaceDN w:val="0"/>
        <w:spacing w:before="164" w:after="0" w:line="240" w:lineRule="auto"/>
        <w:ind w:left="1054" w:hanging="361"/>
        <w:contextualSpacing w:val="0"/>
        <w:rPr>
          <w:rFonts w:cstheme="minorHAnsi"/>
          <w:sz w:val="24"/>
          <w:szCs w:val="24"/>
          <w:u w:val="single"/>
        </w:rPr>
      </w:pPr>
      <w:r w:rsidRPr="00191BAB">
        <w:rPr>
          <w:rFonts w:cstheme="minorHAnsi"/>
          <w:spacing w:val="-2"/>
          <w:sz w:val="24"/>
          <w:szCs w:val="24"/>
          <w:u w:val="single"/>
        </w:rPr>
        <w:t>A ventilation method meeting one of the following:</w:t>
      </w:r>
    </w:p>
    <w:p w14:paraId="5A04A5AF" w14:textId="77777777" w:rsidR="00077B7C" w:rsidRPr="00191BAB" w:rsidRDefault="00077B7C" w:rsidP="00077B7C">
      <w:pPr>
        <w:pStyle w:val="BodyText"/>
        <w:spacing w:before="10"/>
        <w:rPr>
          <w:rFonts w:asciiTheme="minorHAnsi" w:hAnsiTheme="minorHAnsi" w:cstheme="minorHAnsi"/>
          <w:sz w:val="24"/>
          <w:szCs w:val="24"/>
          <w:u w:val="single"/>
        </w:rPr>
      </w:pPr>
    </w:p>
    <w:p w14:paraId="7F5517E4" w14:textId="0A55A595" w:rsidR="00077B7C" w:rsidRPr="00191BAB" w:rsidRDefault="00077B7C" w:rsidP="00077B7C">
      <w:pPr>
        <w:pStyle w:val="ListParagraph"/>
        <w:widowControl w:val="0"/>
        <w:numPr>
          <w:ilvl w:val="2"/>
          <w:numId w:val="10"/>
        </w:numPr>
        <w:autoSpaceDE w:val="0"/>
        <w:autoSpaceDN w:val="0"/>
        <w:spacing w:before="121" w:after="0" w:line="240" w:lineRule="auto"/>
        <w:rPr>
          <w:rFonts w:cstheme="minorHAnsi"/>
          <w:sz w:val="24"/>
          <w:szCs w:val="24"/>
          <w:u w:val="single"/>
        </w:rPr>
      </w:pPr>
      <w:r w:rsidRPr="00191BAB">
        <w:rPr>
          <w:rFonts w:cstheme="minorHAnsi"/>
          <w:sz w:val="24"/>
          <w:szCs w:val="24"/>
          <w:u w:val="single"/>
        </w:rPr>
        <w:t>The designed space reserved for the future heat pump water heater shall have a minimum volume of 700 cubic feet; or</w:t>
      </w:r>
    </w:p>
    <w:p w14:paraId="7E82868D" w14:textId="3CE28997" w:rsidR="00077B7C" w:rsidRPr="00191BAB" w:rsidRDefault="00077B7C" w:rsidP="00077B7C">
      <w:pPr>
        <w:pStyle w:val="ListParagraph"/>
        <w:widowControl w:val="0"/>
        <w:numPr>
          <w:ilvl w:val="2"/>
          <w:numId w:val="10"/>
        </w:numPr>
        <w:tabs>
          <w:tab w:val="left" w:pos="1415"/>
        </w:tabs>
        <w:autoSpaceDE w:val="0"/>
        <w:autoSpaceDN w:val="0"/>
        <w:spacing w:after="0"/>
        <w:ind w:right="942"/>
        <w:contextualSpacing w:val="0"/>
        <w:rPr>
          <w:rFonts w:cstheme="minorHAnsi"/>
          <w:sz w:val="24"/>
          <w:szCs w:val="24"/>
          <w:u w:val="single"/>
        </w:rPr>
      </w:pPr>
      <w:r w:rsidRPr="00191BAB">
        <w:rPr>
          <w:rFonts w:cstheme="minorHAnsi"/>
          <w:sz w:val="24"/>
          <w:szCs w:val="24"/>
          <w:u w:val="single"/>
        </w:rPr>
        <w:t>The designed space</w:t>
      </w:r>
      <w:r>
        <w:rPr>
          <w:rFonts w:cstheme="minorHAnsi"/>
          <w:sz w:val="24"/>
          <w:szCs w:val="24"/>
          <w:u w:val="single"/>
        </w:rPr>
        <w:t xml:space="preserve"> </w:t>
      </w:r>
      <w:r w:rsidRPr="00191BAB">
        <w:rPr>
          <w:rFonts w:cstheme="minorHAnsi"/>
          <w:sz w:val="24"/>
          <w:szCs w:val="24"/>
          <w:u w:val="single"/>
        </w:rPr>
        <w:t>reserved for the future heat pump water heater shall vent to a communicating space in the same pressure boundary via permanent openings with a minimum total net free area of 250 square inches so that the total combined volume connected via permanent openings is 700 cu. ft. or larger. The permanent openings shall be:</w:t>
      </w:r>
    </w:p>
    <w:p w14:paraId="7070D1D2" w14:textId="77777777" w:rsidR="00077B7C" w:rsidRPr="00191BAB" w:rsidRDefault="00077B7C" w:rsidP="00077B7C">
      <w:pPr>
        <w:pStyle w:val="ListParagraph"/>
        <w:widowControl w:val="0"/>
        <w:numPr>
          <w:ilvl w:val="3"/>
          <w:numId w:val="10"/>
        </w:numPr>
        <w:tabs>
          <w:tab w:val="left" w:pos="1774"/>
          <w:tab w:val="left" w:pos="1775"/>
        </w:tabs>
        <w:autoSpaceDE w:val="0"/>
        <w:autoSpaceDN w:val="0"/>
        <w:spacing w:before="156" w:after="0" w:line="240" w:lineRule="auto"/>
        <w:ind w:hanging="361"/>
        <w:contextualSpacing w:val="0"/>
        <w:jc w:val="left"/>
        <w:rPr>
          <w:rFonts w:cstheme="minorHAnsi"/>
          <w:sz w:val="24"/>
          <w:szCs w:val="24"/>
          <w:u w:val="single"/>
        </w:rPr>
      </w:pPr>
      <w:r w:rsidRPr="00191BAB">
        <w:rPr>
          <w:rFonts w:cstheme="minorHAnsi"/>
          <w:sz w:val="24"/>
          <w:szCs w:val="24"/>
          <w:u w:val="single"/>
        </w:rPr>
        <w:t>Fully louvered doors with fixed louvers consisting of a single layer of fixed flat slats</w:t>
      </w:r>
      <w:r w:rsidRPr="00191BAB">
        <w:rPr>
          <w:rFonts w:cstheme="minorHAnsi"/>
          <w:spacing w:val="-2"/>
          <w:sz w:val="24"/>
          <w:szCs w:val="24"/>
          <w:u w:val="single"/>
        </w:rPr>
        <w:t>; or</w:t>
      </w:r>
    </w:p>
    <w:p w14:paraId="332E5635" w14:textId="77777777" w:rsidR="00077B7C" w:rsidRPr="00191BAB" w:rsidRDefault="00077B7C" w:rsidP="00077B7C">
      <w:pPr>
        <w:pStyle w:val="ListParagraph"/>
        <w:widowControl w:val="0"/>
        <w:numPr>
          <w:ilvl w:val="3"/>
          <w:numId w:val="10"/>
        </w:numPr>
        <w:tabs>
          <w:tab w:val="left" w:pos="1774"/>
          <w:tab w:val="left" w:pos="1775"/>
        </w:tabs>
        <w:autoSpaceDE w:val="0"/>
        <w:autoSpaceDN w:val="0"/>
        <w:spacing w:before="178" w:after="0" w:line="240" w:lineRule="auto"/>
        <w:ind w:hanging="361"/>
        <w:contextualSpacing w:val="0"/>
        <w:jc w:val="left"/>
        <w:rPr>
          <w:rFonts w:cstheme="minorHAnsi"/>
          <w:sz w:val="24"/>
          <w:szCs w:val="24"/>
          <w:u w:val="single"/>
        </w:rPr>
      </w:pPr>
      <w:r w:rsidRPr="00191BAB">
        <w:rPr>
          <w:rFonts w:cstheme="minorHAnsi"/>
          <w:sz w:val="24"/>
          <w:szCs w:val="24"/>
          <w:u w:val="single"/>
        </w:rPr>
        <w:t>Two permanent fixed openings, consisting of a single layer of fixed flat slat louvers or grilles, one commencing within 12 inches from the top of the enclosure and one commencing within 12 inches from the bottom of the enclosure.</w:t>
      </w:r>
    </w:p>
    <w:p w14:paraId="13ADFEE8" w14:textId="61D3388C" w:rsidR="00077B7C" w:rsidRPr="00191BAB" w:rsidRDefault="00077B7C" w:rsidP="00077B7C">
      <w:pPr>
        <w:pStyle w:val="ListParagraph"/>
        <w:widowControl w:val="0"/>
        <w:numPr>
          <w:ilvl w:val="2"/>
          <w:numId w:val="10"/>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The designed space reserved for the future heat pump water heater shall include two 8” capped ducts, venting to the building exterior:</w:t>
      </w:r>
    </w:p>
    <w:p w14:paraId="1518C0FB" w14:textId="77777777" w:rsidR="00077B7C" w:rsidRPr="00191BAB" w:rsidRDefault="00077B7C" w:rsidP="00077B7C">
      <w:pPr>
        <w:pStyle w:val="ListParagraph"/>
        <w:widowControl w:val="0"/>
        <w:numPr>
          <w:ilvl w:val="3"/>
          <w:numId w:val="10"/>
        </w:numPr>
        <w:autoSpaceDE w:val="0"/>
        <w:autoSpaceDN w:val="0"/>
        <w:spacing w:before="121" w:after="0" w:line="240" w:lineRule="auto"/>
        <w:contextualSpacing w:val="0"/>
        <w:jc w:val="left"/>
        <w:rPr>
          <w:rFonts w:cstheme="minorHAnsi"/>
          <w:sz w:val="24"/>
          <w:szCs w:val="24"/>
          <w:u w:val="single"/>
        </w:rPr>
      </w:pPr>
      <w:r w:rsidRPr="00191BAB">
        <w:rPr>
          <w:rFonts w:cstheme="minorHAnsi"/>
          <w:sz w:val="24"/>
          <w:szCs w:val="24"/>
          <w:u w:val="single"/>
        </w:rPr>
        <w:t xml:space="preserve">All ducts, connections and building penetrations shall be sealed.  </w:t>
      </w:r>
    </w:p>
    <w:p w14:paraId="71B02796" w14:textId="77777777" w:rsidR="00077B7C" w:rsidRPr="00191BAB" w:rsidRDefault="00077B7C" w:rsidP="00077B7C">
      <w:pPr>
        <w:pStyle w:val="ListParagraph"/>
        <w:widowControl w:val="0"/>
        <w:numPr>
          <w:ilvl w:val="3"/>
          <w:numId w:val="10"/>
        </w:numPr>
        <w:tabs>
          <w:tab w:val="left" w:pos="1774"/>
          <w:tab w:val="left" w:pos="1775"/>
        </w:tabs>
        <w:autoSpaceDE w:val="0"/>
        <w:autoSpaceDN w:val="0"/>
        <w:spacing w:before="178" w:after="0" w:line="240" w:lineRule="auto"/>
        <w:contextualSpacing w:val="0"/>
        <w:jc w:val="left"/>
        <w:rPr>
          <w:rFonts w:cstheme="minorHAnsi"/>
          <w:sz w:val="24"/>
          <w:szCs w:val="24"/>
          <w:u w:val="single"/>
        </w:rPr>
      </w:pPr>
      <w:r w:rsidRPr="00191BAB">
        <w:rPr>
          <w:rFonts w:cstheme="minorHAnsi"/>
          <w:sz w:val="24"/>
          <w:szCs w:val="24"/>
          <w:u w:val="single"/>
        </w:rPr>
        <w:t>Exhaust air ducts and all ducts which cross pressure boundaries shall be insulated to a minimum insulation level of R-6</w:t>
      </w:r>
    </w:p>
    <w:p w14:paraId="0DEB8D7F" w14:textId="77777777" w:rsidR="00077B7C" w:rsidRPr="00191BAB" w:rsidRDefault="00077B7C" w:rsidP="00077B7C">
      <w:pPr>
        <w:pStyle w:val="ListParagraph"/>
        <w:widowControl w:val="0"/>
        <w:numPr>
          <w:ilvl w:val="3"/>
          <w:numId w:val="10"/>
        </w:numPr>
        <w:autoSpaceDE w:val="0"/>
        <w:autoSpaceDN w:val="0"/>
        <w:spacing w:before="121" w:after="0" w:line="240" w:lineRule="auto"/>
        <w:contextualSpacing w:val="0"/>
        <w:jc w:val="left"/>
        <w:rPr>
          <w:rFonts w:cstheme="minorHAnsi"/>
          <w:sz w:val="24"/>
          <w:szCs w:val="24"/>
          <w:u w:val="single"/>
        </w:rPr>
      </w:pPr>
      <w:r w:rsidRPr="00191BAB">
        <w:rPr>
          <w:rFonts w:cstheme="minorHAnsi"/>
          <w:sz w:val="24"/>
          <w:szCs w:val="24"/>
          <w:u w:val="single"/>
        </w:rPr>
        <w:t xml:space="preserve"> Airflow from termination points shall be diverted away from each other. </w:t>
      </w:r>
      <w:r w:rsidRPr="00191BAB">
        <w:rPr>
          <w:rFonts w:cstheme="minorHAnsi"/>
          <w:sz w:val="24"/>
          <w:szCs w:val="24"/>
        </w:rPr>
        <w:br/>
      </w:r>
    </w:p>
    <w:p w14:paraId="209FF91C" w14:textId="02CC7801" w:rsidR="00077B7C" w:rsidRPr="00191BAB" w:rsidRDefault="00077B7C" w:rsidP="00077B7C">
      <w:pPr>
        <w:pStyle w:val="ListParagraph"/>
        <w:widowControl w:val="0"/>
        <w:numPr>
          <w:ilvl w:val="0"/>
          <w:numId w:val="16"/>
        </w:numPr>
        <w:autoSpaceDE w:val="0"/>
        <w:autoSpaceDN w:val="0"/>
        <w:spacing w:after="0" w:line="240" w:lineRule="auto"/>
        <w:contextualSpacing w:val="0"/>
        <w:jc w:val="left"/>
        <w:rPr>
          <w:rFonts w:cstheme="minorHAnsi"/>
          <w:sz w:val="24"/>
          <w:szCs w:val="24"/>
          <w:u w:val="single"/>
        </w:rPr>
      </w:pPr>
      <w:r w:rsidRPr="00191BAB">
        <w:rPr>
          <w:rFonts w:cstheme="minorHAnsi"/>
          <w:b/>
          <w:bCs/>
          <w:sz w:val="24"/>
          <w:szCs w:val="24"/>
          <w:u w:val="single"/>
        </w:rPr>
        <w:t>Central Heat Pump Water Heater Electric Ready.</w:t>
      </w:r>
      <w:r w:rsidRPr="00191BAB">
        <w:rPr>
          <w:rFonts w:cstheme="minorHAnsi"/>
          <w:sz w:val="24"/>
          <w:szCs w:val="24"/>
          <w:u w:val="single"/>
        </w:rPr>
        <w:t xml:space="preserve"> </w:t>
      </w:r>
      <w:r w:rsidRPr="00191BAB">
        <w:rPr>
          <w:rFonts w:cstheme="minorHAnsi"/>
          <w:sz w:val="24"/>
          <w:u w:val="single"/>
        </w:rPr>
        <w:t>Central</w:t>
      </w:r>
      <w:r w:rsidRPr="00191BAB">
        <w:rPr>
          <w:rFonts w:cstheme="minorHAnsi"/>
          <w:spacing w:val="-2"/>
          <w:sz w:val="24"/>
          <w:u w:val="single"/>
        </w:rPr>
        <w:t xml:space="preserve"> </w:t>
      </w:r>
      <w:r w:rsidRPr="00191BAB">
        <w:rPr>
          <w:rFonts w:cstheme="minorHAnsi"/>
          <w:sz w:val="24"/>
          <w:u w:val="single"/>
        </w:rPr>
        <w:t>water</w:t>
      </w:r>
      <w:r w:rsidRPr="00191BAB">
        <w:rPr>
          <w:rFonts w:cstheme="minorHAnsi"/>
          <w:spacing w:val="-4"/>
          <w:sz w:val="24"/>
          <w:u w:val="single"/>
        </w:rPr>
        <w:t xml:space="preserve"> </w:t>
      </w:r>
      <w:r w:rsidRPr="00191BAB">
        <w:rPr>
          <w:rFonts w:cstheme="minorHAnsi"/>
          <w:sz w:val="24"/>
          <w:u w:val="single"/>
        </w:rPr>
        <w:t>heating</w:t>
      </w:r>
      <w:r w:rsidRPr="00191BAB">
        <w:rPr>
          <w:rFonts w:cstheme="minorHAnsi"/>
          <w:spacing w:val="-3"/>
          <w:sz w:val="24"/>
          <w:u w:val="single"/>
        </w:rPr>
        <w:t xml:space="preserve"> </w:t>
      </w:r>
      <w:r w:rsidRPr="00191BAB">
        <w:rPr>
          <w:rFonts w:cstheme="minorHAnsi"/>
          <w:sz w:val="24"/>
          <w:u w:val="single"/>
        </w:rPr>
        <w:t>systems</w:t>
      </w:r>
      <w:r w:rsidRPr="00191BAB">
        <w:rPr>
          <w:rFonts w:cstheme="minorHAnsi"/>
          <w:spacing w:val="-3"/>
          <w:sz w:val="24"/>
          <w:u w:val="single"/>
        </w:rPr>
        <w:t xml:space="preserve"> </w:t>
      </w:r>
      <w:r w:rsidRPr="00191BAB">
        <w:rPr>
          <w:rFonts w:cstheme="minorHAnsi"/>
          <w:sz w:val="24"/>
          <w:u w:val="single"/>
        </w:rPr>
        <w:t>using</w:t>
      </w:r>
      <w:r w:rsidRPr="00191BAB">
        <w:rPr>
          <w:rFonts w:cstheme="minorHAnsi"/>
          <w:spacing w:val="-3"/>
          <w:sz w:val="24"/>
          <w:u w:val="single"/>
        </w:rPr>
        <w:t xml:space="preserve"> </w:t>
      </w:r>
      <w:r w:rsidRPr="00191BAB">
        <w:rPr>
          <w:rFonts w:cstheme="minorHAnsi"/>
          <w:sz w:val="24"/>
          <w:u w:val="single"/>
        </w:rPr>
        <w:t>gas</w:t>
      </w:r>
      <w:r w:rsidRPr="00191BAB">
        <w:rPr>
          <w:rFonts w:cstheme="minorHAnsi"/>
          <w:spacing w:val="-3"/>
          <w:sz w:val="24"/>
          <w:u w:val="single"/>
        </w:rPr>
        <w:t xml:space="preserve"> </w:t>
      </w:r>
      <w:r w:rsidRPr="00191BAB">
        <w:rPr>
          <w:rFonts w:cstheme="minorHAnsi"/>
          <w:sz w:val="24"/>
          <w:u w:val="single"/>
        </w:rPr>
        <w:t>or</w:t>
      </w:r>
      <w:r w:rsidRPr="00191BAB">
        <w:rPr>
          <w:rFonts w:cstheme="minorHAnsi"/>
          <w:spacing w:val="-2"/>
          <w:sz w:val="24"/>
          <w:u w:val="single"/>
        </w:rPr>
        <w:t xml:space="preserve"> </w:t>
      </w:r>
      <w:r w:rsidRPr="00191BAB">
        <w:rPr>
          <w:rFonts w:cstheme="minorHAnsi"/>
          <w:sz w:val="24"/>
          <w:u w:val="single"/>
        </w:rPr>
        <w:t>propane</w:t>
      </w:r>
      <w:r w:rsidRPr="00191BAB">
        <w:rPr>
          <w:rFonts w:cstheme="minorHAnsi"/>
          <w:spacing w:val="-2"/>
          <w:sz w:val="24"/>
          <w:u w:val="single"/>
        </w:rPr>
        <w:t xml:space="preserve"> </w:t>
      </w:r>
      <w:r w:rsidRPr="00191BAB">
        <w:rPr>
          <w:rFonts w:cstheme="minorHAnsi"/>
          <w:sz w:val="24"/>
          <w:u w:val="single"/>
        </w:rPr>
        <w:t>to</w:t>
      </w:r>
      <w:r w:rsidRPr="00191BAB">
        <w:rPr>
          <w:rFonts w:cstheme="minorHAnsi"/>
          <w:sz w:val="24"/>
        </w:rPr>
        <w:t xml:space="preserve"> </w:t>
      </w:r>
      <w:r w:rsidRPr="00191BAB">
        <w:rPr>
          <w:rFonts w:cstheme="minorHAnsi"/>
          <w:sz w:val="24"/>
          <w:u w:val="single"/>
        </w:rPr>
        <w:t>serve multiple dwelling units shall include the following:</w:t>
      </w:r>
    </w:p>
    <w:p w14:paraId="342474F3" w14:textId="77777777" w:rsidR="00077B7C" w:rsidRPr="00191BAB" w:rsidRDefault="00077B7C" w:rsidP="00077B7C">
      <w:pPr>
        <w:pStyle w:val="ListParagraph"/>
        <w:widowControl w:val="0"/>
        <w:numPr>
          <w:ilvl w:val="1"/>
          <w:numId w:val="11"/>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The system input capacity of the gas or propane water heating system shall be determined as the sum of the input gas or propane capacity of all water heating devices associated with each gas or propane water heating system.</w:t>
      </w:r>
    </w:p>
    <w:p w14:paraId="75A75695" w14:textId="77777777" w:rsidR="00077B7C" w:rsidRPr="00191BAB" w:rsidRDefault="00077B7C" w:rsidP="00077B7C">
      <w:pPr>
        <w:pStyle w:val="ListParagraph"/>
        <w:widowControl w:val="0"/>
        <w:numPr>
          <w:ilvl w:val="1"/>
          <w:numId w:val="11"/>
        </w:numPr>
        <w:autoSpaceDE w:val="0"/>
        <w:autoSpaceDN w:val="0"/>
        <w:spacing w:before="121" w:after="0" w:line="240" w:lineRule="auto"/>
        <w:contextualSpacing w:val="0"/>
        <w:rPr>
          <w:rStyle w:val="normaltextrun"/>
          <w:rFonts w:cstheme="minorHAnsi"/>
          <w:sz w:val="24"/>
          <w:szCs w:val="24"/>
          <w:u w:val="single"/>
        </w:rPr>
      </w:pPr>
      <w:r w:rsidRPr="00191BAB">
        <w:rPr>
          <w:rStyle w:val="normaltextrun"/>
          <w:rFonts w:cstheme="minorHAnsi"/>
          <w:sz w:val="24"/>
          <w:szCs w:val="24"/>
          <w:u w:val="single"/>
        </w:rPr>
        <w:t>Space reserved shall include: </w:t>
      </w:r>
    </w:p>
    <w:p w14:paraId="2FB176D5" w14:textId="324CF24B" w:rsidR="00077B7C" w:rsidRPr="00191BAB" w:rsidRDefault="00077B7C" w:rsidP="00077B7C">
      <w:pPr>
        <w:pStyle w:val="ListParagraph"/>
        <w:widowControl w:val="0"/>
        <w:numPr>
          <w:ilvl w:val="2"/>
          <w:numId w:val="11"/>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lastRenderedPageBreak/>
        <w:t>Heat Pump. The minimum space reserved shall include space for service clearances</w:t>
      </w:r>
      <w:r>
        <w:rPr>
          <w:rFonts w:cstheme="minorHAnsi"/>
          <w:sz w:val="24"/>
          <w:szCs w:val="24"/>
          <w:u w:val="single"/>
        </w:rPr>
        <w:t xml:space="preserve"> and</w:t>
      </w:r>
      <w:r w:rsidRPr="00191BAB">
        <w:rPr>
          <w:rFonts w:cstheme="minorHAnsi"/>
          <w:sz w:val="24"/>
          <w:szCs w:val="24"/>
          <w:u w:val="single"/>
        </w:rPr>
        <w:t xml:space="preserve"> air flow clearances</w:t>
      </w:r>
      <w:r>
        <w:rPr>
          <w:rFonts w:cstheme="minorHAnsi"/>
          <w:sz w:val="24"/>
          <w:szCs w:val="24"/>
          <w:u w:val="single"/>
        </w:rPr>
        <w:t xml:space="preserve"> </w:t>
      </w:r>
      <w:r w:rsidRPr="00191BAB">
        <w:rPr>
          <w:rFonts w:cstheme="minorHAnsi"/>
          <w:sz w:val="24"/>
          <w:szCs w:val="24"/>
          <w:u w:val="single"/>
        </w:rPr>
        <w:t xml:space="preserve">and shall meet one of the following: </w:t>
      </w:r>
    </w:p>
    <w:p w14:paraId="4628A803" w14:textId="27D07135" w:rsidR="00077B7C" w:rsidRPr="00191BAB" w:rsidRDefault="00077B7C" w:rsidP="00077B7C">
      <w:pPr>
        <w:pStyle w:val="ListParagraph"/>
        <w:widowControl w:val="0"/>
        <w:numPr>
          <w:ilvl w:val="3"/>
          <w:numId w:val="11"/>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If the system input capacity of the gas water heating system is less than 200,000 BTU per hour, the minimum space reserved for the heat pump shall be 2.0 square feet per input 10,000 BTU per hour</w:t>
      </w:r>
      <w:r w:rsidRPr="00191BAB" w:rsidDel="006B65B9">
        <w:rPr>
          <w:rFonts w:cstheme="minorHAnsi"/>
          <w:sz w:val="24"/>
          <w:szCs w:val="24"/>
          <w:u w:val="single"/>
        </w:rPr>
        <w:t xml:space="preserve"> </w:t>
      </w:r>
      <w:r w:rsidRPr="00191BAB">
        <w:rPr>
          <w:rFonts w:cstheme="minorHAnsi"/>
          <w:sz w:val="24"/>
          <w:szCs w:val="24"/>
          <w:u w:val="single"/>
        </w:rPr>
        <w:t xml:space="preserve">of the gas or propane water heating system, and the minimum linear dimension of the space reserved shall be 48 linear inches.  </w:t>
      </w:r>
    </w:p>
    <w:p w14:paraId="20C264BE" w14:textId="33095F51" w:rsidR="00077B7C" w:rsidRPr="00191BAB" w:rsidRDefault="00077B7C" w:rsidP="00077B7C">
      <w:pPr>
        <w:pStyle w:val="ListParagraph"/>
        <w:widowControl w:val="0"/>
        <w:numPr>
          <w:ilvl w:val="3"/>
          <w:numId w:val="11"/>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If the system input capacity of the gas water heating system is greater than or equal to 200,000 BTU per hour, the minimum space reserved for the heat pump shall be 3.6 square feet per input 10,000 BTU per hour</w:t>
      </w:r>
      <w:r w:rsidRPr="00191BAB" w:rsidDel="006B65B9">
        <w:rPr>
          <w:rFonts w:cstheme="minorHAnsi"/>
          <w:sz w:val="24"/>
          <w:szCs w:val="24"/>
          <w:u w:val="single"/>
        </w:rPr>
        <w:t xml:space="preserve"> </w:t>
      </w:r>
      <w:r w:rsidRPr="00191BAB">
        <w:rPr>
          <w:rFonts w:cstheme="minorHAnsi"/>
          <w:sz w:val="24"/>
          <w:szCs w:val="24"/>
          <w:u w:val="single"/>
        </w:rPr>
        <w:t xml:space="preserve">of the gas or propane water heating system, and the minimum linear dimension of the space reserved shall be 84 linear inches.  </w:t>
      </w:r>
    </w:p>
    <w:p w14:paraId="5C9F84D8" w14:textId="77777777" w:rsidR="00077B7C" w:rsidRPr="00191BAB" w:rsidRDefault="00077B7C" w:rsidP="00077B7C">
      <w:pPr>
        <w:pStyle w:val="ListParagraph"/>
        <w:widowControl w:val="0"/>
        <w:numPr>
          <w:ilvl w:val="3"/>
          <w:numId w:val="11"/>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The space reserved shall be the space required for a heat pump water heater system that meets the total building hot water demand as calculated and documented by the responsible person associated with the project.  </w:t>
      </w:r>
    </w:p>
    <w:p w14:paraId="6EB838AB" w14:textId="099A843D" w:rsidR="00077B7C" w:rsidRPr="00191BAB" w:rsidRDefault="00077B7C" w:rsidP="00077B7C">
      <w:pPr>
        <w:pStyle w:val="ListParagraph"/>
        <w:widowControl w:val="0"/>
        <w:numPr>
          <w:ilvl w:val="2"/>
          <w:numId w:val="11"/>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Tanks. The minimum space reserved shall include space for service clearances and shall meet one of the following: </w:t>
      </w:r>
    </w:p>
    <w:p w14:paraId="2C62EF09" w14:textId="136B6C73" w:rsidR="00077B7C" w:rsidRPr="00191BAB" w:rsidRDefault="00077B7C" w:rsidP="00077B7C">
      <w:pPr>
        <w:pStyle w:val="ListParagraph"/>
        <w:widowControl w:val="0"/>
        <w:numPr>
          <w:ilvl w:val="3"/>
          <w:numId w:val="11"/>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If the system input capacity of the gas water heating system is less than 200,000 BTU per hour, the minimum space reserved for the storage and temperature maintenance tanks shall be 4.4 square feet per input 10,000 BTU per hour. of the gas or propane water heating system. </w:t>
      </w:r>
    </w:p>
    <w:p w14:paraId="6A78E9EF" w14:textId="62414038" w:rsidR="00077B7C" w:rsidRPr="00191BAB" w:rsidRDefault="00077B7C" w:rsidP="00077B7C">
      <w:pPr>
        <w:pStyle w:val="ListParagraph"/>
        <w:widowControl w:val="0"/>
        <w:numPr>
          <w:ilvl w:val="3"/>
          <w:numId w:val="11"/>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If the system input capacity of the gas water heating system is greater than or equal to 200,000 BTU per hour, the minimum physical space reserved for the storage and temperature maintenance tanks shall be 3.1 square feet per input 10,000 BTU per hour. of the gas or propane water heating system.  </w:t>
      </w:r>
    </w:p>
    <w:p w14:paraId="3BB36279" w14:textId="77777777" w:rsidR="00077B7C" w:rsidRPr="00191BAB" w:rsidRDefault="00077B7C" w:rsidP="00077B7C">
      <w:pPr>
        <w:pStyle w:val="ListParagraph"/>
        <w:widowControl w:val="0"/>
        <w:numPr>
          <w:ilvl w:val="3"/>
          <w:numId w:val="11"/>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The space reserved shall be the space required for a heat pump water heater system that meets the total building hot water demand as calculated and documented by the responsible person associated with the project.</w:t>
      </w:r>
    </w:p>
    <w:p w14:paraId="6BD57DF7" w14:textId="77777777" w:rsidR="00077B7C" w:rsidRPr="00191BAB" w:rsidRDefault="00077B7C" w:rsidP="00077B7C">
      <w:pPr>
        <w:pStyle w:val="ListParagraph"/>
        <w:widowControl w:val="0"/>
        <w:numPr>
          <w:ilvl w:val="1"/>
          <w:numId w:val="11"/>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Ventilation shall be provided by meeting one of the following:  </w:t>
      </w:r>
    </w:p>
    <w:p w14:paraId="784E6DE7" w14:textId="77777777" w:rsidR="00077B7C" w:rsidRPr="00191BAB" w:rsidRDefault="00077B7C" w:rsidP="00077B7C">
      <w:pPr>
        <w:pStyle w:val="ListParagraph"/>
        <w:widowControl w:val="0"/>
        <w:numPr>
          <w:ilvl w:val="2"/>
          <w:numId w:val="11"/>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Physical space reserved for the heat pump shall be located outside, or  </w:t>
      </w:r>
    </w:p>
    <w:p w14:paraId="73DB3CD0" w14:textId="77777777" w:rsidR="00077B7C" w:rsidRPr="00191BAB" w:rsidRDefault="00077B7C" w:rsidP="00077B7C">
      <w:pPr>
        <w:pStyle w:val="ListParagraph"/>
        <w:widowControl w:val="0"/>
        <w:numPr>
          <w:ilvl w:val="2"/>
          <w:numId w:val="11"/>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A pathway shall be reserved for future routing of supply and exhaust air via ductwork from the reserved heat pump location to an appropriate outdoor location. Penetrations through the building envelope for louvers and ducts shall be planned and identified for future use. The reserved pathway and penetrations through the building envelope shall be sized to </w:t>
      </w:r>
      <w:r w:rsidRPr="00191BAB">
        <w:rPr>
          <w:rFonts w:cstheme="minorHAnsi"/>
          <w:sz w:val="24"/>
          <w:szCs w:val="24"/>
          <w:u w:val="single"/>
        </w:rPr>
        <w:lastRenderedPageBreak/>
        <w:t xml:space="preserve">meet one of the following:  </w:t>
      </w:r>
    </w:p>
    <w:p w14:paraId="3CB8E82E" w14:textId="33BCCF25" w:rsidR="00077B7C" w:rsidRPr="00191BAB" w:rsidRDefault="00077B7C" w:rsidP="00077B7C">
      <w:pPr>
        <w:pStyle w:val="ListParagraph"/>
        <w:widowControl w:val="0"/>
        <w:numPr>
          <w:ilvl w:val="3"/>
          <w:numId w:val="11"/>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If the system input capacity of the gas water heating system is less than 200,000 BTU per hour, the minimum air flow rate shall be 70 CFM per input 10,000 BTU per hour</w:t>
      </w:r>
      <w:r w:rsidRPr="00191BAB" w:rsidDel="001509CD">
        <w:rPr>
          <w:rFonts w:cstheme="minorHAnsi"/>
          <w:sz w:val="24"/>
          <w:szCs w:val="24"/>
          <w:u w:val="single"/>
        </w:rPr>
        <w:t xml:space="preserve"> </w:t>
      </w:r>
      <w:r w:rsidRPr="00191BAB">
        <w:rPr>
          <w:rFonts w:cstheme="minorHAnsi"/>
          <w:sz w:val="24"/>
          <w:szCs w:val="24"/>
          <w:u w:val="single"/>
        </w:rPr>
        <w:t xml:space="preserve">of the gas or propane water heating system and the total external static pressure drop of ductwork and louvers shall not exceed 0.17 inch when the future heat pump water heater is installed.  </w:t>
      </w:r>
    </w:p>
    <w:p w14:paraId="1CB006DA" w14:textId="2F6ABCBE" w:rsidR="00077B7C" w:rsidRPr="00191BAB" w:rsidRDefault="00077B7C" w:rsidP="00077B7C">
      <w:pPr>
        <w:pStyle w:val="ListParagraph"/>
        <w:widowControl w:val="0"/>
        <w:numPr>
          <w:ilvl w:val="3"/>
          <w:numId w:val="11"/>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If the system input capacity of the gas water heating system is greater than or equal to 200,000 BTU per hour, the minimum air flow rate shall be 420 CFM per input 10,000 BTU per hour</w:t>
      </w:r>
      <w:r w:rsidRPr="00191BAB" w:rsidDel="001509CD">
        <w:rPr>
          <w:rFonts w:cstheme="minorHAnsi"/>
          <w:sz w:val="24"/>
          <w:szCs w:val="24"/>
          <w:u w:val="single"/>
        </w:rPr>
        <w:t xml:space="preserve"> </w:t>
      </w:r>
      <w:r w:rsidRPr="00191BAB">
        <w:rPr>
          <w:rFonts w:cstheme="minorHAnsi"/>
          <w:sz w:val="24"/>
          <w:szCs w:val="24"/>
          <w:u w:val="single"/>
        </w:rPr>
        <w:t>of the gas or propane water heating system and the total external static pressure drop of ductwork and louvers shall not exceed 0.17 inch when the future heat pump water heater is installed.</w:t>
      </w:r>
    </w:p>
    <w:p w14:paraId="2803A061" w14:textId="77777777" w:rsidR="00077B7C" w:rsidRPr="00191BAB" w:rsidRDefault="00077B7C" w:rsidP="00077B7C">
      <w:pPr>
        <w:pStyle w:val="ListParagraph"/>
        <w:widowControl w:val="0"/>
        <w:numPr>
          <w:ilvl w:val="3"/>
          <w:numId w:val="11"/>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The reserved pathway and penetrations shall be sized to serve a heat pump water heater system that meets the total building hot water demand as calculated and documented by the responsible person associated with the project.</w:t>
      </w:r>
    </w:p>
    <w:p w14:paraId="2E2C7225" w14:textId="77777777" w:rsidR="00077B7C" w:rsidRPr="00191BAB" w:rsidRDefault="00077B7C" w:rsidP="00077B7C">
      <w:pPr>
        <w:pStyle w:val="ListParagraph"/>
        <w:widowControl w:val="0"/>
        <w:numPr>
          <w:ilvl w:val="1"/>
          <w:numId w:val="11"/>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Condensate drainage piping. An approved receptacle that is sized in accordance with the California Plumbing Code to receive the condensate drainage shall be installed within 3 feet of the reserved heat pump location, or piping shall be installed from within 3 feet of the reserved heat pump location to an approved discharge location that is sized in accordance with the California Plumbing Code, and meets one of the following:  </w:t>
      </w:r>
    </w:p>
    <w:p w14:paraId="7A23C529" w14:textId="4BDA5CBA" w:rsidR="00077B7C" w:rsidRPr="00191BAB" w:rsidRDefault="00077B7C" w:rsidP="00077B7C">
      <w:pPr>
        <w:pStyle w:val="ListParagraph"/>
        <w:widowControl w:val="0"/>
        <w:numPr>
          <w:ilvl w:val="2"/>
          <w:numId w:val="11"/>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If the system input capacity of the gas water heating system is less than 200,000 BTU per hour, condensate drainage shall be sized for 0.2 tons of refrigeration capacity per input 10,000 BTU per hour</w:t>
      </w:r>
      <w:r>
        <w:rPr>
          <w:rFonts w:cstheme="minorHAnsi"/>
          <w:sz w:val="24"/>
          <w:szCs w:val="24"/>
          <w:u w:val="single"/>
        </w:rPr>
        <w:t>.</w:t>
      </w:r>
    </w:p>
    <w:p w14:paraId="494FC049" w14:textId="6CAF7A97" w:rsidR="00077B7C" w:rsidRPr="00191BAB" w:rsidRDefault="00077B7C" w:rsidP="00077B7C">
      <w:pPr>
        <w:pStyle w:val="ListParagraph"/>
        <w:widowControl w:val="0"/>
        <w:numPr>
          <w:ilvl w:val="2"/>
          <w:numId w:val="11"/>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If the system input capacity of the gas water heating system is greater than or equal to 200,000 BTU per hour, condensate drainage shall be sized for 0.7 tons of refrigeration capacity per input 10,000 BTU per hour</w:t>
      </w:r>
      <w:r>
        <w:rPr>
          <w:rFonts w:cstheme="minorHAnsi"/>
          <w:sz w:val="24"/>
          <w:szCs w:val="24"/>
          <w:u w:val="single"/>
        </w:rPr>
        <w:t>.</w:t>
      </w:r>
    </w:p>
    <w:p w14:paraId="13909D3E" w14:textId="77777777" w:rsidR="00077B7C" w:rsidRPr="00191BAB" w:rsidRDefault="00077B7C" w:rsidP="00077B7C">
      <w:pPr>
        <w:pStyle w:val="ListParagraph"/>
        <w:widowControl w:val="0"/>
        <w:numPr>
          <w:ilvl w:val="2"/>
          <w:numId w:val="11"/>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Condensate drainage shall be sized to serve a heat pump water heater system that meets the total building hot water demand as calculated and documented by the responsible person associated with the project. </w:t>
      </w:r>
    </w:p>
    <w:p w14:paraId="2DED1C81" w14:textId="77777777" w:rsidR="00077B7C" w:rsidRPr="00191BAB" w:rsidRDefault="00077B7C" w:rsidP="00077B7C">
      <w:pPr>
        <w:pStyle w:val="ListParagraph"/>
        <w:widowControl w:val="0"/>
        <w:numPr>
          <w:ilvl w:val="1"/>
          <w:numId w:val="11"/>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Electrical.  </w:t>
      </w:r>
    </w:p>
    <w:p w14:paraId="7C6B578D" w14:textId="37124D30" w:rsidR="00077B7C" w:rsidRPr="00191BAB" w:rsidRDefault="00077B7C" w:rsidP="00077B7C">
      <w:pPr>
        <w:pStyle w:val="ListParagraph"/>
        <w:widowControl w:val="0"/>
        <w:numPr>
          <w:ilvl w:val="2"/>
          <w:numId w:val="11"/>
        </w:numPr>
        <w:autoSpaceDE w:val="0"/>
        <w:autoSpaceDN w:val="0"/>
        <w:spacing w:before="121" w:after="0" w:line="240" w:lineRule="auto"/>
        <w:rPr>
          <w:rFonts w:eastAsiaTheme="minorEastAsia" w:cstheme="minorHAnsi"/>
          <w:sz w:val="24"/>
          <w:szCs w:val="24"/>
          <w:u w:val="single"/>
        </w:rPr>
      </w:pPr>
      <w:r w:rsidRPr="00191BAB">
        <w:rPr>
          <w:rFonts w:cstheme="minorHAnsi"/>
          <w:sz w:val="24"/>
          <w:szCs w:val="24"/>
          <w:u w:val="single"/>
        </w:rPr>
        <w:t>Physical space shall b</w:t>
      </w:r>
      <w:r w:rsidRPr="00191BAB">
        <w:rPr>
          <w:rFonts w:eastAsiaTheme="minorEastAsia" w:cstheme="minorHAnsi"/>
          <w:sz w:val="24"/>
          <w:szCs w:val="24"/>
          <w:u w:val="single"/>
        </w:rPr>
        <w:t>e reserved on the bus system of the main switchboard or on the bus system of a distribution board to serve the future heat pump water heater system including the heat pump and temperature maintenance tanks. In addition, the physical space reserved shall be capable of providing adequate power to the future heat pump water heater as follows:</w:t>
      </w:r>
    </w:p>
    <w:p w14:paraId="3D0AC27F" w14:textId="3164F948" w:rsidR="00077B7C" w:rsidRPr="00191BAB" w:rsidRDefault="00077B7C" w:rsidP="00077B7C">
      <w:pPr>
        <w:pStyle w:val="ListParagraph"/>
        <w:widowControl w:val="0"/>
        <w:numPr>
          <w:ilvl w:val="3"/>
          <w:numId w:val="11"/>
        </w:numPr>
        <w:autoSpaceDE w:val="0"/>
        <w:autoSpaceDN w:val="0"/>
        <w:spacing w:before="121" w:after="0" w:line="240" w:lineRule="auto"/>
        <w:rPr>
          <w:rFonts w:eastAsiaTheme="minorEastAsia" w:cstheme="minorHAnsi"/>
          <w:sz w:val="24"/>
          <w:szCs w:val="24"/>
        </w:rPr>
      </w:pPr>
      <w:r w:rsidRPr="00191BAB">
        <w:rPr>
          <w:rFonts w:eastAsiaTheme="minorEastAsia" w:cstheme="minorHAnsi"/>
          <w:sz w:val="24"/>
          <w:szCs w:val="24"/>
          <w:u w:val="single"/>
        </w:rPr>
        <w:t xml:space="preserve">Heat Pump. For the Heat Pump, the physical space reserved shall </w:t>
      </w:r>
      <w:r w:rsidRPr="00191BAB">
        <w:rPr>
          <w:rFonts w:eastAsiaTheme="minorEastAsia" w:cstheme="minorHAnsi"/>
          <w:sz w:val="24"/>
          <w:szCs w:val="24"/>
          <w:u w:val="single"/>
        </w:rPr>
        <w:lastRenderedPageBreak/>
        <w:t xml:space="preserve">comply with one of the following:  </w:t>
      </w:r>
      <w:r w:rsidRPr="00191BAB">
        <w:rPr>
          <w:rFonts w:eastAsiaTheme="minorEastAsia" w:cstheme="minorHAnsi"/>
          <w:sz w:val="24"/>
          <w:szCs w:val="24"/>
        </w:rPr>
        <w:t xml:space="preserve"> </w:t>
      </w:r>
    </w:p>
    <w:p w14:paraId="60D448CB" w14:textId="78F26947" w:rsidR="00077B7C" w:rsidRPr="00191BAB" w:rsidRDefault="00077B7C" w:rsidP="00077B7C">
      <w:pPr>
        <w:pStyle w:val="ListParagraph"/>
        <w:widowControl w:val="0"/>
        <w:numPr>
          <w:ilvl w:val="4"/>
          <w:numId w:val="11"/>
        </w:numPr>
        <w:autoSpaceDE w:val="0"/>
        <w:autoSpaceDN w:val="0"/>
        <w:spacing w:before="121" w:after="0" w:line="240" w:lineRule="auto"/>
        <w:rPr>
          <w:rFonts w:eastAsiaTheme="minorEastAsia" w:cstheme="minorHAnsi"/>
          <w:sz w:val="24"/>
          <w:szCs w:val="24"/>
          <w:u w:val="single"/>
        </w:rPr>
      </w:pPr>
      <w:r w:rsidRPr="00191BAB">
        <w:rPr>
          <w:rFonts w:eastAsiaTheme="minorEastAsia" w:cstheme="minorHAnsi"/>
          <w:sz w:val="24"/>
          <w:szCs w:val="24"/>
          <w:u w:val="single"/>
        </w:rPr>
        <w:t>If the system input capacity of the gas water heating system is less than 200,000 BTU</w:t>
      </w:r>
      <w:r w:rsidRPr="00191BAB">
        <w:rPr>
          <w:rFonts w:cstheme="minorHAnsi"/>
          <w:sz w:val="24"/>
          <w:szCs w:val="24"/>
          <w:u w:val="single"/>
        </w:rPr>
        <w:t xml:space="preserve"> per hour</w:t>
      </w:r>
      <w:r w:rsidRPr="00191BAB">
        <w:rPr>
          <w:rFonts w:eastAsiaTheme="minorEastAsia" w:cstheme="minorHAnsi"/>
          <w:sz w:val="24"/>
          <w:szCs w:val="24"/>
          <w:u w:val="single"/>
        </w:rPr>
        <w:t>, provide 0.1 kVA per input 10,000 BTU</w:t>
      </w:r>
      <w:r w:rsidRPr="00191BAB">
        <w:rPr>
          <w:rFonts w:cstheme="minorHAnsi"/>
          <w:sz w:val="24"/>
          <w:szCs w:val="24"/>
          <w:u w:val="single"/>
        </w:rPr>
        <w:t xml:space="preserve"> per hour</w:t>
      </w:r>
      <w:r>
        <w:rPr>
          <w:rFonts w:cstheme="minorHAnsi"/>
          <w:sz w:val="24"/>
          <w:szCs w:val="24"/>
          <w:u w:val="single"/>
        </w:rPr>
        <w:t>.</w:t>
      </w:r>
    </w:p>
    <w:p w14:paraId="4AF97899" w14:textId="662DCFB4" w:rsidR="00077B7C" w:rsidRPr="00191BAB" w:rsidRDefault="00077B7C" w:rsidP="00077B7C">
      <w:pPr>
        <w:pStyle w:val="ListParagraph"/>
        <w:widowControl w:val="0"/>
        <w:numPr>
          <w:ilvl w:val="4"/>
          <w:numId w:val="11"/>
        </w:numPr>
        <w:autoSpaceDE w:val="0"/>
        <w:autoSpaceDN w:val="0"/>
        <w:spacing w:before="121" w:after="0" w:line="240" w:lineRule="auto"/>
        <w:rPr>
          <w:rFonts w:eastAsiaTheme="minorEastAsia" w:cstheme="minorHAnsi"/>
          <w:sz w:val="24"/>
          <w:szCs w:val="24"/>
          <w:u w:val="single"/>
        </w:rPr>
      </w:pPr>
      <w:r w:rsidRPr="00191BAB">
        <w:rPr>
          <w:rFonts w:eastAsiaTheme="minorEastAsia" w:cstheme="minorHAnsi"/>
          <w:sz w:val="24"/>
          <w:szCs w:val="24"/>
          <w:u w:val="single"/>
        </w:rPr>
        <w:t>If the system input capacity of the gas water heating system is greater than or equal to 200,000 BTU</w:t>
      </w:r>
      <w:r w:rsidRPr="00191BAB">
        <w:rPr>
          <w:rFonts w:cstheme="minorHAnsi"/>
          <w:sz w:val="24"/>
          <w:szCs w:val="24"/>
          <w:u w:val="single"/>
        </w:rPr>
        <w:t xml:space="preserve"> per hour</w:t>
      </w:r>
      <w:r w:rsidRPr="00191BAB">
        <w:rPr>
          <w:rFonts w:eastAsiaTheme="minorEastAsia" w:cstheme="minorHAnsi"/>
          <w:sz w:val="24"/>
          <w:szCs w:val="24"/>
          <w:u w:val="single"/>
        </w:rPr>
        <w:t>, provide 1.1 kVA per input 10,000 BTU</w:t>
      </w:r>
      <w:r w:rsidRPr="00191BAB">
        <w:rPr>
          <w:rFonts w:cstheme="minorHAnsi"/>
          <w:sz w:val="24"/>
          <w:szCs w:val="24"/>
          <w:u w:val="single"/>
        </w:rPr>
        <w:t xml:space="preserve"> per hour</w:t>
      </w:r>
      <w:r>
        <w:rPr>
          <w:rFonts w:cstheme="minorHAnsi"/>
          <w:sz w:val="24"/>
          <w:szCs w:val="24"/>
          <w:u w:val="single"/>
        </w:rPr>
        <w:t>.</w:t>
      </w:r>
    </w:p>
    <w:p w14:paraId="5F947227" w14:textId="77777777" w:rsidR="00077B7C" w:rsidRPr="00191BAB" w:rsidRDefault="00077B7C" w:rsidP="00077B7C">
      <w:pPr>
        <w:pStyle w:val="ListParagraph"/>
        <w:widowControl w:val="0"/>
        <w:numPr>
          <w:ilvl w:val="4"/>
          <w:numId w:val="11"/>
        </w:numPr>
        <w:autoSpaceDE w:val="0"/>
        <w:autoSpaceDN w:val="0"/>
        <w:spacing w:before="121" w:after="0" w:line="240" w:lineRule="auto"/>
        <w:rPr>
          <w:rFonts w:eastAsiaTheme="minorEastAsia" w:cstheme="minorHAnsi"/>
          <w:sz w:val="24"/>
          <w:szCs w:val="24"/>
          <w:u w:val="single"/>
        </w:rPr>
      </w:pPr>
      <w:r w:rsidRPr="00191BAB">
        <w:rPr>
          <w:rFonts w:eastAsiaTheme="minorEastAsia" w:cstheme="minorHAnsi"/>
          <w:sz w:val="24"/>
          <w:szCs w:val="24"/>
          <w:u w:val="single"/>
        </w:rPr>
        <w:t xml:space="preserve">The physical space reserved supplies sufficient electrical power required to power a heat pump water heater system that meets the total building hot water demand as calculated and documented by the responsible person associated with the project.  </w:t>
      </w:r>
    </w:p>
    <w:p w14:paraId="5CEC2393" w14:textId="048FE887" w:rsidR="00077B7C" w:rsidRPr="00191BAB" w:rsidRDefault="00077B7C" w:rsidP="00077B7C">
      <w:pPr>
        <w:pStyle w:val="ListParagraph"/>
        <w:widowControl w:val="0"/>
        <w:numPr>
          <w:ilvl w:val="3"/>
          <w:numId w:val="11"/>
        </w:numPr>
        <w:autoSpaceDE w:val="0"/>
        <w:autoSpaceDN w:val="0"/>
        <w:spacing w:before="121" w:after="0" w:line="240" w:lineRule="auto"/>
        <w:rPr>
          <w:rFonts w:eastAsiaTheme="minorEastAsia" w:cstheme="minorHAnsi"/>
          <w:sz w:val="24"/>
          <w:szCs w:val="24"/>
          <w:u w:val="single"/>
        </w:rPr>
      </w:pPr>
      <w:r w:rsidRPr="00191BAB">
        <w:rPr>
          <w:rFonts w:eastAsiaTheme="minorEastAsia" w:cstheme="minorHAnsi"/>
          <w:sz w:val="24"/>
          <w:szCs w:val="24"/>
          <w:u w:val="single"/>
        </w:rPr>
        <w:t xml:space="preserve">Temperature Maintenance Tank. For the Temperature Maintenance Tank, the physical space reserved shall comply with one of the following:  </w:t>
      </w:r>
      <w:r w:rsidRPr="00191BAB">
        <w:rPr>
          <w:rFonts w:eastAsiaTheme="minorEastAsia" w:cstheme="minorHAnsi"/>
          <w:sz w:val="24"/>
          <w:szCs w:val="24"/>
        </w:rPr>
        <w:t xml:space="preserve"> </w:t>
      </w:r>
    </w:p>
    <w:p w14:paraId="6A1D9D56" w14:textId="082ED223" w:rsidR="00077B7C" w:rsidRPr="00191BAB" w:rsidRDefault="00077B7C" w:rsidP="00077B7C">
      <w:pPr>
        <w:pStyle w:val="ListParagraph"/>
        <w:widowControl w:val="0"/>
        <w:numPr>
          <w:ilvl w:val="4"/>
          <w:numId w:val="11"/>
        </w:numPr>
        <w:autoSpaceDE w:val="0"/>
        <w:autoSpaceDN w:val="0"/>
        <w:spacing w:before="121" w:after="0" w:line="240" w:lineRule="auto"/>
        <w:rPr>
          <w:rFonts w:eastAsiaTheme="minorEastAsia" w:cstheme="minorHAnsi"/>
          <w:sz w:val="24"/>
          <w:szCs w:val="24"/>
          <w:u w:val="single"/>
        </w:rPr>
      </w:pPr>
      <w:r w:rsidRPr="00191BAB">
        <w:rPr>
          <w:rFonts w:eastAsiaTheme="minorEastAsia" w:cstheme="minorHAnsi"/>
          <w:sz w:val="24"/>
          <w:szCs w:val="24"/>
          <w:u w:val="single"/>
        </w:rPr>
        <w:t>If the system input capacity of the gas water heating system is less than 200,000 BTU</w:t>
      </w:r>
      <w:r w:rsidRPr="00191BAB">
        <w:rPr>
          <w:rFonts w:cstheme="minorHAnsi"/>
          <w:sz w:val="24"/>
          <w:szCs w:val="24"/>
          <w:u w:val="single"/>
        </w:rPr>
        <w:t xml:space="preserve"> per hour</w:t>
      </w:r>
      <w:r w:rsidRPr="00191BAB">
        <w:rPr>
          <w:rFonts w:eastAsiaTheme="minorEastAsia" w:cstheme="minorHAnsi"/>
          <w:sz w:val="24"/>
          <w:szCs w:val="24"/>
          <w:u w:val="single"/>
        </w:rPr>
        <w:t>, provide 1.0 kVA per input 10,000 BTU</w:t>
      </w:r>
      <w:r w:rsidRPr="00191BAB">
        <w:rPr>
          <w:rFonts w:cstheme="minorHAnsi"/>
          <w:sz w:val="24"/>
          <w:szCs w:val="24"/>
          <w:u w:val="single"/>
        </w:rPr>
        <w:t xml:space="preserve"> per hour</w:t>
      </w:r>
      <w:r>
        <w:rPr>
          <w:rFonts w:cstheme="minorHAnsi"/>
          <w:sz w:val="24"/>
          <w:szCs w:val="24"/>
          <w:u w:val="single"/>
        </w:rPr>
        <w:t>.</w:t>
      </w:r>
    </w:p>
    <w:p w14:paraId="0D29CB68" w14:textId="6CA4B4C1" w:rsidR="00077B7C" w:rsidRPr="00191BAB" w:rsidRDefault="00077B7C" w:rsidP="00077B7C">
      <w:pPr>
        <w:pStyle w:val="ListParagraph"/>
        <w:widowControl w:val="0"/>
        <w:numPr>
          <w:ilvl w:val="4"/>
          <w:numId w:val="11"/>
        </w:numPr>
        <w:autoSpaceDE w:val="0"/>
        <w:autoSpaceDN w:val="0"/>
        <w:spacing w:before="121" w:after="0" w:line="240" w:lineRule="auto"/>
        <w:rPr>
          <w:rFonts w:eastAsiaTheme="minorEastAsia" w:cstheme="minorHAnsi"/>
          <w:sz w:val="24"/>
          <w:szCs w:val="24"/>
          <w:u w:val="single"/>
        </w:rPr>
      </w:pPr>
      <w:r w:rsidRPr="00191BAB">
        <w:rPr>
          <w:rFonts w:eastAsiaTheme="minorEastAsia" w:cstheme="minorHAnsi"/>
          <w:sz w:val="24"/>
          <w:szCs w:val="24"/>
          <w:u w:val="single"/>
        </w:rPr>
        <w:t>If the system input capacity of the gas water heating system is greater than or equal to 200,000 BTU</w:t>
      </w:r>
      <w:r w:rsidRPr="00191BAB">
        <w:rPr>
          <w:rFonts w:cstheme="minorHAnsi"/>
          <w:sz w:val="24"/>
          <w:szCs w:val="24"/>
          <w:u w:val="single"/>
        </w:rPr>
        <w:t xml:space="preserve"> per hour</w:t>
      </w:r>
      <w:r w:rsidRPr="00191BAB">
        <w:rPr>
          <w:rFonts w:eastAsiaTheme="minorEastAsia" w:cstheme="minorHAnsi"/>
          <w:sz w:val="24"/>
          <w:szCs w:val="24"/>
          <w:u w:val="single"/>
        </w:rPr>
        <w:t>, provide 0.6 kVA per input 10,000 BTU</w:t>
      </w:r>
      <w:r w:rsidRPr="00191BAB">
        <w:rPr>
          <w:rFonts w:cstheme="minorHAnsi"/>
          <w:sz w:val="24"/>
          <w:szCs w:val="24"/>
          <w:u w:val="single"/>
        </w:rPr>
        <w:t xml:space="preserve"> per hour</w:t>
      </w:r>
      <w:r>
        <w:rPr>
          <w:rFonts w:cstheme="minorHAnsi"/>
          <w:sz w:val="24"/>
          <w:szCs w:val="24"/>
          <w:u w:val="single"/>
        </w:rPr>
        <w:t>.</w:t>
      </w:r>
    </w:p>
    <w:p w14:paraId="176CFC1F" w14:textId="77777777" w:rsidR="00077B7C" w:rsidRPr="00191BAB" w:rsidRDefault="00077B7C" w:rsidP="00077B7C">
      <w:pPr>
        <w:pStyle w:val="ListParagraph"/>
        <w:widowControl w:val="0"/>
        <w:numPr>
          <w:ilvl w:val="4"/>
          <w:numId w:val="11"/>
        </w:numPr>
        <w:autoSpaceDE w:val="0"/>
        <w:autoSpaceDN w:val="0"/>
        <w:spacing w:before="121" w:after="0" w:line="240" w:lineRule="auto"/>
        <w:rPr>
          <w:rFonts w:eastAsiaTheme="minorEastAsia" w:cstheme="minorHAnsi"/>
          <w:sz w:val="24"/>
          <w:szCs w:val="24"/>
          <w:u w:val="single"/>
        </w:rPr>
      </w:pPr>
      <w:r w:rsidRPr="00191BAB">
        <w:rPr>
          <w:rFonts w:eastAsiaTheme="minorEastAsia" w:cstheme="minorHAnsi"/>
          <w:sz w:val="24"/>
          <w:szCs w:val="24"/>
          <w:u w:val="single"/>
        </w:rPr>
        <w:t xml:space="preserve">The physical space reserved supplies sufficient electrical power required to power a heat pump water heater system that meets the total building hot water demand as calculated and documented by the responsible person associated with the project. </w:t>
      </w:r>
      <w:r w:rsidRPr="00191BAB">
        <w:rPr>
          <w:rFonts w:cstheme="minorHAnsi"/>
          <w:sz w:val="24"/>
          <w:szCs w:val="24"/>
        </w:rPr>
        <w:br/>
      </w:r>
    </w:p>
    <w:p w14:paraId="4B10F299" w14:textId="77777777" w:rsidR="00077B7C" w:rsidRPr="00191BAB" w:rsidRDefault="00077B7C" w:rsidP="00077B7C">
      <w:pPr>
        <w:pStyle w:val="ListParagraph"/>
        <w:widowControl w:val="0"/>
        <w:numPr>
          <w:ilvl w:val="0"/>
          <w:numId w:val="16"/>
        </w:numPr>
        <w:autoSpaceDE w:val="0"/>
        <w:autoSpaceDN w:val="0"/>
        <w:spacing w:before="121"/>
        <w:jc w:val="left"/>
        <w:rPr>
          <w:rFonts w:cstheme="minorHAnsi"/>
          <w:sz w:val="24"/>
          <w:szCs w:val="24"/>
          <w:u w:val="single"/>
        </w:rPr>
      </w:pPr>
      <w:r w:rsidRPr="00191BAB">
        <w:rPr>
          <w:rFonts w:eastAsiaTheme="minorEastAsia" w:cstheme="minorHAnsi"/>
          <w:sz w:val="24"/>
          <w:szCs w:val="24"/>
          <w:u w:val="single"/>
        </w:rPr>
        <w:t>The building electrical system shall be sized to meet the future electric requirements of the electric ready equipment specified in sections 160.9 a – e. To meet this requirement the building main service cond</w:t>
      </w:r>
      <w:r w:rsidRPr="00191BAB">
        <w:rPr>
          <w:rFonts w:cstheme="minorHAnsi"/>
          <w:sz w:val="24"/>
          <w:szCs w:val="24"/>
          <w:u w:val="single"/>
        </w:rPr>
        <w:t>uit, the electrical system to the point specified in each subsection, and any on-site distribution transformers shall have sufficient capacity to supply full rated amperage at each electric ready appliance in accordance with the California Electric Code.</w:t>
      </w:r>
    </w:p>
    <w:p w14:paraId="0A3F2B7E" w14:textId="3840AC21" w:rsidR="008869B0" w:rsidRPr="006A5B35" w:rsidRDefault="007A6374" w:rsidP="00300D35">
      <w:pPr>
        <w:pStyle w:val="Heading1"/>
        <w:rPr>
          <w:rFonts w:asciiTheme="minorHAnsi" w:hAnsiTheme="minorHAnsi" w:cstheme="minorHAnsi"/>
          <w:szCs w:val="24"/>
        </w:rPr>
      </w:pPr>
      <w:r w:rsidRPr="006A5B35">
        <w:rPr>
          <w:rFonts w:asciiTheme="minorHAnsi" w:hAnsiTheme="minorHAnsi" w:cstheme="minorHAnsi"/>
          <w:szCs w:val="24"/>
        </w:rPr>
        <w:t xml:space="preserve">SUBCHAPTER 11 </w:t>
      </w:r>
    </w:p>
    <w:p w14:paraId="13F85894" w14:textId="77777777" w:rsidR="00B02AF8" w:rsidRPr="006A5B35" w:rsidRDefault="007A6374" w:rsidP="00B02AF8">
      <w:pPr>
        <w:pStyle w:val="Heading2"/>
        <w:rPr>
          <w:rFonts w:asciiTheme="minorHAnsi" w:hAnsiTheme="minorHAnsi" w:cstheme="minorHAnsi"/>
          <w:sz w:val="24"/>
          <w:szCs w:val="24"/>
        </w:rPr>
      </w:pPr>
      <w:r w:rsidRPr="006A5B35">
        <w:rPr>
          <w:rFonts w:asciiTheme="minorHAnsi" w:hAnsiTheme="minorHAnsi" w:cstheme="minorHAnsi"/>
          <w:sz w:val="24"/>
          <w:szCs w:val="24"/>
        </w:rPr>
        <w:t>MULTIFAMILY BUILDINGS - PERFORMANCE AND PRESCRIPTIVE COMPLIANCE APPROACHES</w:t>
      </w:r>
      <w:r w:rsidR="004767F5" w:rsidRPr="006A5B35">
        <w:rPr>
          <w:rFonts w:asciiTheme="minorHAnsi" w:hAnsiTheme="minorHAnsi" w:cstheme="minorHAnsi"/>
          <w:sz w:val="24"/>
          <w:szCs w:val="24"/>
        </w:rPr>
        <w:t xml:space="preserve"> </w:t>
      </w:r>
    </w:p>
    <w:p w14:paraId="49E89E98" w14:textId="72ADF1F3" w:rsidR="00300D35" w:rsidRPr="006A5B35" w:rsidRDefault="00423E5B" w:rsidP="00B02AF8">
      <w:pPr>
        <w:pStyle w:val="Heading3"/>
        <w:rPr>
          <w:rFonts w:asciiTheme="minorHAnsi" w:hAnsiTheme="minorHAnsi" w:cstheme="minorHAnsi"/>
        </w:rPr>
      </w:pPr>
      <w:r w:rsidRPr="006A5B35">
        <w:rPr>
          <w:rFonts w:asciiTheme="minorHAnsi" w:hAnsiTheme="minorHAnsi" w:cstheme="minorHAnsi"/>
        </w:rPr>
        <w:t>S</w:t>
      </w:r>
      <w:r w:rsidR="008A4C46" w:rsidRPr="006A5B35">
        <w:rPr>
          <w:rFonts w:asciiTheme="minorHAnsi" w:hAnsiTheme="minorHAnsi" w:cstheme="minorHAnsi"/>
        </w:rPr>
        <w:t>ECTION</w:t>
      </w:r>
      <w:r w:rsidRPr="006A5B35">
        <w:rPr>
          <w:rFonts w:asciiTheme="minorHAnsi" w:hAnsiTheme="minorHAnsi" w:cstheme="minorHAnsi"/>
        </w:rPr>
        <w:t xml:space="preserve"> 170.1 – </w:t>
      </w:r>
      <w:r w:rsidR="00AA4079" w:rsidRPr="006A5B35">
        <w:rPr>
          <w:rFonts w:asciiTheme="minorHAnsi" w:hAnsiTheme="minorHAnsi" w:cstheme="minorHAnsi"/>
        </w:rPr>
        <w:t>PERFORMANCE APPROACH</w:t>
      </w:r>
      <w:r w:rsidRPr="006A5B35">
        <w:rPr>
          <w:rFonts w:asciiTheme="minorHAnsi" w:hAnsiTheme="minorHAnsi" w:cstheme="minorHAnsi"/>
        </w:rPr>
        <w:t xml:space="preserve"> </w:t>
      </w:r>
    </w:p>
    <w:p w14:paraId="34EDBE35" w14:textId="0547BCB2" w:rsidR="00780125" w:rsidRPr="006A5B35" w:rsidRDefault="008869B0" w:rsidP="008B6407">
      <w:pPr>
        <w:rPr>
          <w:rFonts w:cstheme="minorHAnsi"/>
          <w:sz w:val="24"/>
          <w:szCs w:val="24"/>
        </w:rPr>
      </w:pPr>
      <w:r w:rsidRPr="006A5B35">
        <w:rPr>
          <w:rFonts w:cstheme="minorHAnsi"/>
          <w:sz w:val="24"/>
          <w:szCs w:val="24"/>
        </w:rPr>
        <w:t xml:space="preserve">Section 170.1 is </w:t>
      </w:r>
      <w:r w:rsidR="00780125" w:rsidRPr="006A5B35">
        <w:rPr>
          <w:rFonts w:cstheme="minorHAnsi"/>
          <w:sz w:val="24"/>
          <w:szCs w:val="24"/>
        </w:rPr>
        <w:t>adopted with amendments as follows:</w:t>
      </w:r>
    </w:p>
    <w:p w14:paraId="705088F2" w14:textId="4F44F7E8" w:rsidR="00780125" w:rsidRPr="006A5B35" w:rsidRDefault="00780125" w:rsidP="48F28919">
      <w:pPr>
        <w:rPr>
          <w:rFonts w:cstheme="minorHAnsi"/>
          <w:sz w:val="24"/>
          <w:szCs w:val="24"/>
          <w:u w:val="single"/>
        </w:rPr>
      </w:pPr>
      <w:r w:rsidRPr="006A5B35">
        <w:rPr>
          <w:rFonts w:cstheme="minorHAnsi"/>
          <w:sz w:val="24"/>
          <w:szCs w:val="24"/>
        </w:rPr>
        <w:t>A</w:t>
      </w:r>
      <w:r w:rsidRPr="006A5B35">
        <w:rPr>
          <w:rFonts w:cstheme="minorHAnsi"/>
          <w:spacing w:val="-3"/>
          <w:sz w:val="24"/>
          <w:szCs w:val="24"/>
        </w:rPr>
        <w:t xml:space="preserve"> </w:t>
      </w:r>
      <w:r w:rsidRPr="006A5B35">
        <w:rPr>
          <w:rFonts w:cstheme="minorHAnsi"/>
          <w:sz w:val="24"/>
          <w:szCs w:val="24"/>
        </w:rPr>
        <w:t>building</w:t>
      </w:r>
      <w:r w:rsidRPr="006A5B35">
        <w:rPr>
          <w:rFonts w:cstheme="minorHAnsi"/>
          <w:spacing w:val="-3"/>
          <w:sz w:val="24"/>
          <w:szCs w:val="24"/>
        </w:rPr>
        <w:t xml:space="preserve"> </w:t>
      </w:r>
      <w:r w:rsidRPr="006A5B35">
        <w:rPr>
          <w:rFonts w:cstheme="minorHAnsi"/>
          <w:sz w:val="24"/>
          <w:szCs w:val="24"/>
        </w:rPr>
        <w:t>complies</w:t>
      </w:r>
      <w:r w:rsidRPr="006A5B35">
        <w:rPr>
          <w:rFonts w:cstheme="minorHAnsi"/>
          <w:spacing w:val="-2"/>
          <w:sz w:val="24"/>
          <w:szCs w:val="24"/>
        </w:rPr>
        <w:t xml:space="preserve"> </w:t>
      </w:r>
      <w:r w:rsidRPr="006A5B35">
        <w:rPr>
          <w:rFonts w:cstheme="minorHAnsi"/>
          <w:sz w:val="24"/>
          <w:szCs w:val="24"/>
        </w:rPr>
        <w:t>with</w:t>
      </w:r>
      <w:r w:rsidRPr="006A5B35">
        <w:rPr>
          <w:rFonts w:cstheme="minorHAnsi"/>
          <w:spacing w:val="-2"/>
          <w:sz w:val="24"/>
          <w:szCs w:val="24"/>
        </w:rPr>
        <w:t xml:space="preserve"> </w:t>
      </w:r>
      <w:r w:rsidRPr="006A5B35">
        <w:rPr>
          <w:rFonts w:cstheme="minorHAnsi"/>
          <w:sz w:val="24"/>
          <w:szCs w:val="24"/>
        </w:rPr>
        <w:t>the</w:t>
      </w:r>
      <w:r w:rsidRPr="006A5B35">
        <w:rPr>
          <w:rFonts w:cstheme="minorHAnsi"/>
          <w:spacing w:val="-4"/>
          <w:sz w:val="24"/>
          <w:szCs w:val="24"/>
        </w:rPr>
        <w:t xml:space="preserve"> </w:t>
      </w:r>
      <w:r w:rsidRPr="006A5B35">
        <w:rPr>
          <w:rFonts w:cstheme="minorHAnsi"/>
          <w:sz w:val="24"/>
          <w:szCs w:val="24"/>
        </w:rPr>
        <w:t>performance</w:t>
      </w:r>
      <w:r w:rsidRPr="006A5B35">
        <w:rPr>
          <w:rFonts w:cstheme="minorHAnsi"/>
          <w:spacing w:val="-4"/>
          <w:sz w:val="24"/>
          <w:szCs w:val="24"/>
        </w:rPr>
        <w:t xml:space="preserve"> </w:t>
      </w:r>
      <w:r w:rsidRPr="006A5B35">
        <w:rPr>
          <w:rFonts w:cstheme="minorHAnsi"/>
          <w:sz w:val="24"/>
          <w:szCs w:val="24"/>
        </w:rPr>
        <w:t>approach</w:t>
      </w:r>
      <w:r w:rsidRPr="006A5B35">
        <w:rPr>
          <w:rFonts w:cstheme="minorHAnsi"/>
          <w:spacing w:val="-2"/>
          <w:sz w:val="24"/>
          <w:szCs w:val="24"/>
        </w:rPr>
        <w:t xml:space="preserve"> </w:t>
      </w:r>
      <w:r w:rsidRPr="006A5B35">
        <w:rPr>
          <w:rFonts w:cstheme="minorHAnsi"/>
          <w:sz w:val="24"/>
          <w:szCs w:val="24"/>
        </w:rPr>
        <w:t>if</w:t>
      </w:r>
      <w:r w:rsidRPr="006A5B35">
        <w:rPr>
          <w:rFonts w:cstheme="minorHAnsi"/>
          <w:spacing w:val="-4"/>
          <w:sz w:val="24"/>
          <w:szCs w:val="24"/>
        </w:rPr>
        <w:t xml:space="preserve"> </w:t>
      </w:r>
      <w:r w:rsidRPr="006A5B35">
        <w:rPr>
          <w:rFonts w:cstheme="minorHAnsi"/>
          <w:sz w:val="24"/>
          <w:szCs w:val="24"/>
        </w:rPr>
        <w:t>the</w:t>
      </w:r>
      <w:r w:rsidRPr="006A5B35">
        <w:rPr>
          <w:rFonts w:cstheme="minorHAnsi"/>
          <w:spacing w:val="-4"/>
          <w:sz w:val="24"/>
          <w:szCs w:val="24"/>
        </w:rPr>
        <w:t xml:space="preserve"> </w:t>
      </w:r>
      <w:r w:rsidRPr="006A5B35">
        <w:rPr>
          <w:rFonts w:cstheme="minorHAnsi"/>
          <w:spacing w:val="-4"/>
          <w:sz w:val="24"/>
          <w:szCs w:val="24"/>
          <w:u w:val="single"/>
        </w:rPr>
        <w:t>TDV</w:t>
      </w:r>
      <w:r w:rsidRPr="006A5B35">
        <w:rPr>
          <w:rFonts w:cstheme="minorHAnsi"/>
          <w:spacing w:val="-4"/>
          <w:sz w:val="24"/>
          <w:szCs w:val="24"/>
        </w:rPr>
        <w:t xml:space="preserve"> </w:t>
      </w:r>
      <w:r w:rsidRPr="006A5B35">
        <w:rPr>
          <w:rFonts w:cstheme="minorHAnsi"/>
          <w:sz w:val="24"/>
          <w:szCs w:val="24"/>
        </w:rPr>
        <w:t>energy</w:t>
      </w:r>
      <w:r w:rsidRPr="006A5B35">
        <w:rPr>
          <w:rFonts w:cstheme="minorHAnsi"/>
          <w:spacing w:val="-2"/>
          <w:sz w:val="24"/>
          <w:szCs w:val="24"/>
        </w:rPr>
        <w:t xml:space="preserve"> </w:t>
      </w:r>
      <w:r w:rsidRPr="006A5B35">
        <w:rPr>
          <w:rFonts w:cstheme="minorHAnsi"/>
          <w:sz w:val="24"/>
          <w:szCs w:val="24"/>
        </w:rPr>
        <w:t>budget</w:t>
      </w:r>
      <w:r w:rsidRPr="006A5B35">
        <w:rPr>
          <w:rFonts w:cstheme="minorHAnsi"/>
          <w:spacing w:val="-3"/>
          <w:sz w:val="24"/>
          <w:szCs w:val="24"/>
        </w:rPr>
        <w:t xml:space="preserve"> </w:t>
      </w:r>
      <w:r w:rsidRPr="006A5B35">
        <w:rPr>
          <w:rFonts w:cstheme="minorHAnsi"/>
          <w:sz w:val="24"/>
          <w:szCs w:val="24"/>
        </w:rPr>
        <w:t>calculated</w:t>
      </w:r>
      <w:r w:rsidRPr="006A5B35">
        <w:rPr>
          <w:rFonts w:cstheme="minorHAnsi"/>
          <w:spacing w:val="-2"/>
          <w:sz w:val="24"/>
          <w:szCs w:val="24"/>
        </w:rPr>
        <w:t xml:space="preserve"> </w:t>
      </w:r>
      <w:r w:rsidRPr="006A5B35">
        <w:rPr>
          <w:rFonts w:cstheme="minorHAnsi"/>
          <w:sz w:val="24"/>
          <w:szCs w:val="24"/>
        </w:rPr>
        <w:t>for</w:t>
      </w:r>
      <w:r w:rsidRPr="006A5B35">
        <w:rPr>
          <w:rFonts w:cstheme="minorHAnsi"/>
          <w:spacing w:val="-3"/>
          <w:sz w:val="24"/>
          <w:szCs w:val="24"/>
        </w:rPr>
        <w:t xml:space="preserve"> </w:t>
      </w:r>
      <w:r w:rsidRPr="006A5B35">
        <w:rPr>
          <w:rFonts w:cstheme="minorHAnsi"/>
          <w:sz w:val="24"/>
          <w:szCs w:val="24"/>
        </w:rPr>
        <w:t>the</w:t>
      </w:r>
      <w:r w:rsidRPr="006A5B35">
        <w:rPr>
          <w:rFonts w:cstheme="minorHAnsi"/>
          <w:spacing w:val="-4"/>
          <w:sz w:val="24"/>
          <w:szCs w:val="24"/>
        </w:rPr>
        <w:t xml:space="preserve"> </w:t>
      </w:r>
      <w:r w:rsidRPr="006A5B35">
        <w:rPr>
          <w:rFonts w:cstheme="minorHAnsi"/>
          <w:sz w:val="24"/>
          <w:szCs w:val="24"/>
        </w:rPr>
        <w:t>proposed</w:t>
      </w:r>
      <w:r w:rsidRPr="006A5B35">
        <w:rPr>
          <w:rFonts w:cstheme="minorHAnsi"/>
          <w:spacing w:val="-2"/>
          <w:sz w:val="24"/>
          <w:szCs w:val="24"/>
        </w:rPr>
        <w:t xml:space="preserve"> </w:t>
      </w:r>
      <w:r w:rsidRPr="006A5B35">
        <w:rPr>
          <w:rFonts w:cstheme="minorHAnsi"/>
          <w:sz w:val="24"/>
          <w:szCs w:val="24"/>
        </w:rPr>
        <w:t>design</w:t>
      </w:r>
      <w:r w:rsidRPr="006A5B35">
        <w:rPr>
          <w:rFonts w:cstheme="minorHAnsi"/>
          <w:spacing w:val="-2"/>
          <w:sz w:val="24"/>
          <w:szCs w:val="24"/>
        </w:rPr>
        <w:t xml:space="preserve"> </w:t>
      </w:r>
      <w:r w:rsidRPr="006A5B35">
        <w:rPr>
          <w:rFonts w:cstheme="minorHAnsi"/>
          <w:sz w:val="24"/>
          <w:szCs w:val="24"/>
        </w:rPr>
        <w:t>building</w:t>
      </w:r>
      <w:r w:rsidRPr="006A5B35">
        <w:rPr>
          <w:rFonts w:cstheme="minorHAnsi"/>
          <w:spacing w:val="-1"/>
          <w:sz w:val="24"/>
          <w:szCs w:val="24"/>
        </w:rPr>
        <w:t xml:space="preserve"> </w:t>
      </w:r>
      <w:r w:rsidRPr="006A5B35">
        <w:rPr>
          <w:rFonts w:cstheme="minorHAnsi"/>
          <w:sz w:val="24"/>
          <w:szCs w:val="24"/>
        </w:rPr>
        <w:t xml:space="preserve">under Subsection (b) </w:t>
      </w:r>
      <w:r w:rsidRPr="006A5B35">
        <w:rPr>
          <w:rFonts w:cstheme="minorHAnsi"/>
          <w:sz w:val="24"/>
          <w:szCs w:val="24"/>
          <w:u w:val="single"/>
        </w:rPr>
        <w:t>is no greater than the TDV energy budget calculated for the </w:t>
      </w:r>
      <w:hyperlink r:id="rId14" w:tgtFrame="popup" w:history="1">
        <w:r w:rsidRPr="006A5B35">
          <w:rPr>
            <w:rStyle w:val="Hyperlink"/>
            <w:rFonts w:cstheme="minorHAnsi"/>
            <w:color w:val="auto"/>
            <w:sz w:val="24"/>
            <w:szCs w:val="24"/>
          </w:rPr>
          <w:t>Standard Design Building</w:t>
        </w:r>
      </w:hyperlink>
      <w:r w:rsidRPr="006A5B35">
        <w:rPr>
          <w:rFonts w:cstheme="minorHAnsi"/>
          <w:sz w:val="24"/>
          <w:szCs w:val="24"/>
          <w:u w:val="single"/>
        </w:rPr>
        <w:t> under Subsection (a)</w:t>
      </w:r>
      <w:r w:rsidR="001F731F" w:rsidRPr="006A5B35">
        <w:rPr>
          <w:rFonts w:cstheme="minorHAnsi"/>
          <w:sz w:val="24"/>
          <w:szCs w:val="24"/>
          <w:u w:val="single"/>
        </w:rPr>
        <w:t>.</w:t>
      </w:r>
      <w:r w:rsidRPr="006A5B35">
        <w:rPr>
          <w:rFonts w:cstheme="minorHAnsi"/>
          <w:sz w:val="24"/>
          <w:szCs w:val="24"/>
          <w:u w:val="single"/>
        </w:rPr>
        <w:t xml:space="preserve"> </w:t>
      </w:r>
      <w:r w:rsidR="001F731F" w:rsidRPr="006A5B35">
        <w:rPr>
          <w:rFonts w:cstheme="minorHAnsi"/>
          <w:sz w:val="24"/>
          <w:szCs w:val="24"/>
          <w:u w:val="single"/>
        </w:rPr>
        <w:t>Additionally,</w:t>
      </w:r>
      <w:r w:rsidRPr="006A5B35">
        <w:rPr>
          <w:rFonts w:cstheme="minorHAnsi"/>
          <w:sz w:val="24"/>
          <w:szCs w:val="24"/>
          <w:u w:val="single"/>
        </w:rPr>
        <w:t xml:space="preserve"> </w:t>
      </w:r>
    </w:p>
    <w:p w14:paraId="4CD58537" w14:textId="5739EEE8" w:rsidR="00780125" w:rsidRPr="006A5B35" w:rsidRDefault="18EFB8F5" w:rsidP="48F28919">
      <w:pPr>
        <w:pStyle w:val="ListParagraph"/>
        <w:numPr>
          <w:ilvl w:val="0"/>
          <w:numId w:val="2"/>
        </w:numPr>
        <w:rPr>
          <w:rFonts w:cstheme="minorHAnsi"/>
          <w:sz w:val="24"/>
          <w:szCs w:val="24"/>
          <w:u w:val="single"/>
        </w:rPr>
      </w:pPr>
      <w:r w:rsidRPr="006A5B35">
        <w:rPr>
          <w:rFonts w:cstheme="minorHAnsi"/>
          <w:sz w:val="24"/>
          <w:szCs w:val="24"/>
          <w:u w:val="single"/>
        </w:rPr>
        <w:lastRenderedPageBreak/>
        <w:t xml:space="preserve">The energy budget, expressed in terms of source energy, of a newly constructed low-rise multifamily building (less than four habitable stories) shall be at least </w:t>
      </w:r>
      <w:r w:rsidR="007B6FEA" w:rsidRPr="006A5B35">
        <w:rPr>
          <w:rFonts w:cstheme="minorHAnsi"/>
          <w:sz w:val="24"/>
          <w:szCs w:val="24"/>
          <w:highlight w:val="yellow"/>
          <w:u w:val="single"/>
        </w:rPr>
        <w:t>&lt;x percent&gt;</w:t>
      </w:r>
      <w:commentRangeStart w:id="5"/>
      <w:commentRangeEnd w:id="5"/>
      <w:r w:rsidR="007B6FEA" w:rsidRPr="006A5B35">
        <w:rPr>
          <w:rStyle w:val="CommentReference"/>
          <w:rFonts w:cstheme="minorHAnsi"/>
          <w:sz w:val="24"/>
          <w:szCs w:val="24"/>
        </w:rPr>
        <w:commentReference w:id="5"/>
      </w:r>
      <w:r w:rsidRPr="006A5B35">
        <w:rPr>
          <w:rFonts w:cstheme="minorHAnsi"/>
          <w:sz w:val="24"/>
          <w:szCs w:val="24"/>
          <w:u w:val="single"/>
        </w:rPr>
        <w:t xml:space="preserve">lower than that of the Standard Design Building. </w:t>
      </w:r>
    </w:p>
    <w:p w14:paraId="1FA6D0B8" w14:textId="63E92E0E" w:rsidR="00780125" w:rsidRPr="006A5B35" w:rsidRDefault="18EFB8F5" w:rsidP="18EFB8F5">
      <w:pPr>
        <w:pStyle w:val="ListParagraph"/>
        <w:numPr>
          <w:ilvl w:val="0"/>
          <w:numId w:val="2"/>
        </w:numPr>
        <w:rPr>
          <w:rFonts w:cstheme="minorHAnsi"/>
          <w:sz w:val="24"/>
          <w:szCs w:val="24"/>
          <w:u w:val="single"/>
        </w:rPr>
      </w:pPr>
      <w:r w:rsidRPr="006A5B35">
        <w:rPr>
          <w:rFonts w:cstheme="minorHAnsi"/>
          <w:sz w:val="24"/>
          <w:szCs w:val="24"/>
          <w:u w:val="single"/>
        </w:rPr>
        <w:t xml:space="preserve">Newly Constructed high-rise multifamily buildings (greater than four habitable stories) shall be at least </w:t>
      </w:r>
      <w:r w:rsidR="007B6FEA" w:rsidRPr="006A5B35">
        <w:rPr>
          <w:rFonts w:cstheme="minorHAnsi"/>
          <w:sz w:val="24"/>
          <w:szCs w:val="24"/>
          <w:highlight w:val="yellow"/>
          <w:u w:val="single"/>
        </w:rPr>
        <w:t>&lt;x percent&gt;</w:t>
      </w:r>
      <w:commentRangeStart w:id="6"/>
      <w:commentRangeEnd w:id="6"/>
      <w:r w:rsidR="007B6FEA" w:rsidRPr="006A5B35">
        <w:rPr>
          <w:rStyle w:val="CommentReference"/>
          <w:rFonts w:cstheme="minorHAnsi"/>
          <w:sz w:val="24"/>
          <w:szCs w:val="24"/>
        </w:rPr>
        <w:commentReference w:id="6"/>
      </w:r>
      <w:r w:rsidRPr="006A5B35">
        <w:rPr>
          <w:rFonts w:cstheme="minorHAnsi"/>
          <w:sz w:val="24"/>
          <w:szCs w:val="24"/>
          <w:u w:val="single"/>
        </w:rPr>
        <w:t>lower than that of the Standard Design Building.</w:t>
      </w:r>
    </w:p>
    <w:p w14:paraId="0FA3DFF8" w14:textId="689FAF7F" w:rsidR="00C25405" w:rsidRPr="006A5B35" w:rsidRDefault="00780125" w:rsidP="00300D35">
      <w:pPr>
        <w:rPr>
          <w:rFonts w:cstheme="minorHAnsi"/>
          <w:sz w:val="24"/>
          <w:szCs w:val="24"/>
        </w:rPr>
      </w:pPr>
      <w:r w:rsidRPr="006A5B35">
        <w:rPr>
          <w:rFonts w:cstheme="minorHAnsi"/>
          <w:sz w:val="24"/>
          <w:szCs w:val="24"/>
        </w:rPr>
        <w:t>Sub-sections (a) to (d) are adopted without amendments.</w:t>
      </w:r>
    </w:p>
    <w:p w14:paraId="15B61D79" w14:textId="77777777" w:rsidR="0005337B" w:rsidRDefault="0005337B" w:rsidP="0005337B">
      <w:pPr>
        <w:pStyle w:val="Caption"/>
        <w:keepNext/>
        <w:rPr>
          <w:rFonts w:cstheme="minorHAnsi"/>
          <w:sz w:val="24"/>
          <w:szCs w:val="24"/>
        </w:rPr>
      </w:pPr>
    </w:p>
    <w:p w14:paraId="2BC12FD8" w14:textId="77777777" w:rsidR="00F849CF" w:rsidRDefault="00F849CF" w:rsidP="00F849CF">
      <w:pPr>
        <w:pStyle w:val="Heading1"/>
      </w:pPr>
      <w:bookmarkStart w:id="7" w:name="_Ref163045554"/>
      <w:r w:rsidRPr="00FB704E">
        <w:t>Appendix A</w:t>
      </w:r>
    </w:p>
    <w:p w14:paraId="2D554265" w14:textId="77777777" w:rsidR="00F849CF" w:rsidRPr="00FB704E" w:rsidRDefault="00F849CF" w:rsidP="00F849CF">
      <w:r w:rsidRPr="00061364">
        <w:t xml:space="preserve">Use </w:t>
      </w:r>
      <w:r w:rsidRPr="00061364">
        <w:fldChar w:fldCharType="begin"/>
      </w:r>
      <w:r w:rsidRPr="00061364">
        <w:instrText xml:space="preserve"> REF _Ref163045554 \h  \* MERGEFORMAT </w:instrText>
      </w:r>
      <w:r w:rsidRPr="00061364">
        <w:fldChar w:fldCharType="separate"/>
      </w:r>
      <w:r w:rsidRPr="00061364">
        <w:rPr>
          <w:rFonts w:cstheme="minorHAnsi"/>
          <w:sz w:val="24"/>
          <w:szCs w:val="24"/>
        </w:rPr>
        <w:t xml:space="preserve">Table </w:t>
      </w:r>
      <w:r w:rsidRPr="00061364">
        <w:rPr>
          <w:rFonts w:cstheme="minorHAnsi"/>
          <w:noProof/>
          <w:sz w:val="24"/>
          <w:szCs w:val="24"/>
        </w:rPr>
        <w:t>1</w:t>
      </w:r>
      <w:r w:rsidRPr="00061364">
        <w:fldChar w:fldCharType="end"/>
      </w:r>
      <w:r w:rsidRPr="00061364">
        <w:t xml:space="preserve"> to reference potential compliance margins by climate zone for each of the building type categories above. Delete this appendix before finalizing code.</w:t>
      </w:r>
    </w:p>
    <w:bookmarkEnd w:id="7"/>
    <w:p w14:paraId="1F62665E" w14:textId="77777777" w:rsidR="00895862" w:rsidRPr="00007C4B" w:rsidRDefault="00895862" w:rsidP="00895862">
      <w:pPr>
        <w:pStyle w:val="Caption"/>
        <w:keepNext/>
        <w:rPr>
          <w:sz w:val="24"/>
          <w:szCs w:val="24"/>
        </w:rPr>
      </w:pPr>
      <w:r w:rsidRPr="00007C4B">
        <w:rPr>
          <w:sz w:val="24"/>
          <w:szCs w:val="24"/>
        </w:rPr>
        <w:t xml:space="preserve">Table </w:t>
      </w:r>
      <w:r w:rsidRPr="00007C4B">
        <w:rPr>
          <w:sz w:val="24"/>
          <w:szCs w:val="24"/>
        </w:rPr>
        <w:fldChar w:fldCharType="begin"/>
      </w:r>
      <w:r w:rsidRPr="00007C4B">
        <w:rPr>
          <w:sz w:val="24"/>
          <w:szCs w:val="24"/>
        </w:rPr>
        <w:instrText xml:space="preserve"> SEQ Table \* ARABIC </w:instrText>
      </w:r>
      <w:r w:rsidRPr="00007C4B">
        <w:rPr>
          <w:sz w:val="24"/>
          <w:szCs w:val="24"/>
        </w:rPr>
        <w:fldChar w:fldCharType="separate"/>
      </w:r>
      <w:r w:rsidRPr="00007C4B">
        <w:rPr>
          <w:noProof/>
          <w:sz w:val="24"/>
          <w:szCs w:val="24"/>
        </w:rPr>
        <w:t>1</w:t>
      </w:r>
      <w:r w:rsidRPr="00007C4B">
        <w:rPr>
          <w:sz w:val="24"/>
          <w:szCs w:val="24"/>
        </w:rPr>
        <w:fldChar w:fldCharType="end"/>
      </w:r>
      <w:r w:rsidRPr="00007C4B">
        <w:rPr>
          <w:sz w:val="24"/>
          <w:szCs w:val="24"/>
        </w:rPr>
        <w:t>. Potential Compliance Margins by Climate Zone</w:t>
      </w:r>
    </w:p>
    <w:tbl>
      <w:tblPr>
        <w:tblStyle w:val="TableGrid"/>
        <w:tblW w:w="0" w:type="auto"/>
        <w:tblLook w:val="04A0" w:firstRow="1" w:lastRow="0" w:firstColumn="1" w:lastColumn="0" w:noHBand="0" w:noVBand="1"/>
      </w:tblPr>
      <w:tblGrid>
        <w:gridCol w:w="1396"/>
        <w:gridCol w:w="1557"/>
        <w:gridCol w:w="1549"/>
        <w:gridCol w:w="1705"/>
        <w:gridCol w:w="1452"/>
        <w:gridCol w:w="1691"/>
      </w:tblGrid>
      <w:tr w:rsidR="00895862" w:rsidRPr="00007C4B" w14:paraId="2DDD39CE" w14:textId="77777777" w:rsidTr="00C37D67">
        <w:tc>
          <w:tcPr>
            <w:tcW w:w="1407" w:type="dxa"/>
            <w:shd w:val="clear" w:color="auto" w:fill="D9D9D9" w:themeFill="background1" w:themeFillShade="D9"/>
          </w:tcPr>
          <w:p w14:paraId="1CFDD933" w14:textId="77777777" w:rsidR="00895862" w:rsidRPr="00007C4B" w:rsidRDefault="00895862" w:rsidP="00C37D67">
            <w:pPr>
              <w:rPr>
                <w:rFonts w:cstheme="minorHAnsi"/>
                <w:b/>
                <w:bCs/>
                <w:sz w:val="24"/>
                <w:szCs w:val="24"/>
              </w:rPr>
            </w:pPr>
            <w:r w:rsidRPr="00007C4B">
              <w:rPr>
                <w:rFonts w:cstheme="minorHAnsi"/>
                <w:b/>
                <w:bCs/>
                <w:sz w:val="24"/>
                <w:szCs w:val="24"/>
              </w:rPr>
              <w:t>Climate Zone</w:t>
            </w:r>
          </w:p>
        </w:tc>
        <w:tc>
          <w:tcPr>
            <w:tcW w:w="1575" w:type="dxa"/>
            <w:shd w:val="clear" w:color="auto" w:fill="D9D9D9" w:themeFill="background1" w:themeFillShade="D9"/>
          </w:tcPr>
          <w:p w14:paraId="51824415" w14:textId="77777777" w:rsidR="00895862" w:rsidRPr="00007C4B" w:rsidRDefault="00895862" w:rsidP="00C37D67">
            <w:pPr>
              <w:rPr>
                <w:rFonts w:cstheme="minorHAnsi"/>
                <w:b/>
                <w:bCs/>
                <w:sz w:val="24"/>
                <w:szCs w:val="24"/>
              </w:rPr>
            </w:pPr>
            <w:r w:rsidRPr="00007C4B">
              <w:rPr>
                <w:rFonts w:cstheme="minorHAnsi"/>
                <w:b/>
                <w:bCs/>
                <w:sz w:val="24"/>
                <w:szCs w:val="24"/>
              </w:rPr>
              <w:t>Single Family</w:t>
            </w:r>
          </w:p>
        </w:tc>
        <w:tc>
          <w:tcPr>
            <w:tcW w:w="1570" w:type="dxa"/>
            <w:shd w:val="clear" w:color="auto" w:fill="D9D9D9" w:themeFill="background1" w:themeFillShade="D9"/>
          </w:tcPr>
          <w:p w14:paraId="0D7AA935" w14:textId="77777777" w:rsidR="00895862" w:rsidRPr="00007C4B" w:rsidRDefault="00895862" w:rsidP="00C37D67">
            <w:pPr>
              <w:rPr>
                <w:rFonts w:cstheme="minorHAnsi"/>
                <w:b/>
                <w:bCs/>
                <w:sz w:val="24"/>
                <w:szCs w:val="24"/>
              </w:rPr>
            </w:pPr>
            <w:r w:rsidRPr="00007C4B">
              <w:rPr>
                <w:rFonts w:cstheme="minorHAnsi"/>
                <w:b/>
                <w:bCs/>
                <w:sz w:val="24"/>
                <w:szCs w:val="24"/>
              </w:rPr>
              <w:t>ADUs</w:t>
            </w:r>
          </w:p>
        </w:tc>
        <w:tc>
          <w:tcPr>
            <w:tcW w:w="1714" w:type="dxa"/>
            <w:shd w:val="clear" w:color="auto" w:fill="D9D9D9" w:themeFill="background1" w:themeFillShade="D9"/>
          </w:tcPr>
          <w:p w14:paraId="35BA05FC" w14:textId="77777777" w:rsidR="00895862" w:rsidRPr="00007C4B" w:rsidRDefault="00895862" w:rsidP="00C37D67">
            <w:pPr>
              <w:rPr>
                <w:rFonts w:cstheme="minorHAnsi"/>
                <w:b/>
                <w:bCs/>
                <w:sz w:val="24"/>
                <w:szCs w:val="24"/>
              </w:rPr>
            </w:pPr>
            <w:r w:rsidRPr="00007C4B">
              <w:rPr>
                <w:rFonts w:cstheme="minorHAnsi"/>
                <w:b/>
                <w:bCs/>
                <w:sz w:val="24"/>
                <w:szCs w:val="24"/>
              </w:rPr>
              <w:t>Low-Rise</w:t>
            </w:r>
          </w:p>
          <w:p w14:paraId="3C846312" w14:textId="77777777" w:rsidR="00895862" w:rsidRPr="00007C4B" w:rsidRDefault="00895862" w:rsidP="00C37D67">
            <w:pPr>
              <w:rPr>
                <w:rFonts w:cstheme="minorHAnsi"/>
                <w:b/>
                <w:bCs/>
                <w:sz w:val="24"/>
                <w:szCs w:val="24"/>
              </w:rPr>
            </w:pPr>
            <w:r w:rsidRPr="00007C4B">
              <w:rPr>
                <w:rFonts w:cstheme="minorHAnsi"/>
                <w:b/>
                <w:bCs/>
                <w:sz w:val="24"/>
                <w:szCs w:val="24"/>
              </w:rPr>
              <w:t>Multifamily</w:t>
            </w:r>
          </w:p>
        </w:tc>
        <w:tc>
          <w:tcPr>
            <w:tcW w:w="1454" w:type="dxa"/>
            <w:shd w:val="clear" w:color="auto" w:fill="D9D9D9" w:themeFill="background1" w:themeFillShade="D9"/>
          </w:tcPr>
          <w:p w14:paraId="3DD9912A" w14:textId="77777777" w:rsidR="00895862" w:rsidRPr="00007C4B" w:rsidRDefault="00895862" w:rsidP="00C37D67">
            <w:pPr>
              <w:rPr>
                <w:rFonts w:cstheme="minorHAnsi"/>
                <w:b/>
                <w:bCs/>
                <w:sz w:val="24"/>
                <w:szCs w:val="24"/>
              </w:rPr>
            </w:pPr>
            <w:r w:rsidRPr="00007C4B">
              <w:rPr>
                <w:rFonts w:cstheme="minorHAnsi"/>
                <w:b/>
                <w:bCs/>
                <w:sz w:val="24"/>
                <w:szCs w:val="24"/>
              </w:rPr>
              <w:t>High-Rise</w:t>
            </w:r>
          </w:p>
          <w:p w14:paraId="5EA2DA1D" w14:textId="77777777" w:rsidR="00895862" w:rsidRPr="00007C4B" w:rsidRDefault="00895862" w:rsidP="00C37D67">
            <w:pPr>
              <w:rPr>
                <w:rFonts w:cstheme="minorHAnsi"/>
                <w:b/>
                <w:bCs/>
                <w:sz w:val="24"/>
                <w:szCs w:val="24"/>
              </w:rPr>
            </w:pPr>
            <w:r w:rsidRPr="00007C4B">
              <w:rPr>
                <w:rFonts w:cstheme="minorHAnsi"/>
                <w:b/>
                <w:bCs/>
                <w:sz w:val="24"/>
                <w:szCs w:val="24"/>
              </w:rPr>
              <w:t>Multifamily</w:t>
            </w:r>
          </w:p>
        </w:tc>
        <w:tc>
          <w:tcPr>
            <w:tcW w:w="1630" w:type="dxa"/>
            <w:shd w:val="clear" w:color="auto" w:fill="D9D9D9" w:themeFill="background1" w:themeFillShade="D9"/>
          </w:tcPr>
          <w:p w14:paraId="28966CEB" w14:textId="77777777" w:rsidR="00895862" w:rsidRPr="00007C4B" w:rsidRDefault="00895862" w:rsidP="00C37D67">
            <w:pPr>
              <w:rPr>
                <w:rFonts w:cstheme="minorHAnsi"/>
                <w:b/>
                <w:bCs/>
                <w:sz w:val="24"/>
                <w:szCs w:val="24"/>
              </w:rPr>
            </w:pPr>
            <w:r w:rsidRPr="00007C4B">
              <w:rPr>
                <w:rFonts w:cstheme="minorHAnsi"/>
                <w:b/>
                <w:bCs/>
                <w:sz w:val="24"/>
                <w:szCs w:val="24"/>
              </w:rPr>
              <w:t>Nonresidential</w:t>
            </w:r>
          </w:p>
        </w:tc>
      </w:tr>
      <w:tr w:rsidR="00895862" w:rsidRPr="00007C4B" w14:paraId="380F39C1" w14:textId="77777777" w:rsidTr="00C37D67">
        <w:tc>
          <w:tcPr>
            <w:tcW w:w="1407" w:type="dxa"/>
          </w:tcPr>
          <w:p w14:paraId="1AFF63C9" w14:textId="77777777" w:rsidR="00895862" w:rsidRPr="00007C4B" w:rsidRDefault="00895862" w:rsidP="00C37D67">
            <w:pPr>
              <w:rPr>
                <w:rFonts w:cstheme="minorHAnsi"/>
                <w:b/>
                <w:bCs/>
                <w:sz w:val="24"/>
                <w:szCs w:val="24"/>
              </w:rPr>
            </w:pPr>
            <w:r w:rsidRPr="00007C4B">
              <w:rPr>
                <w:rFonts w:cstheme="minorHAnsi"/>
                <w:b/>
                <w:bCs/>
                <w:sz w:val="24"/>
                <w:szCs w:val="24"/>
              </w:rPr>
              <w:t>CZ 6</w:t>
            </w:r>
          </w:p>
        </w:tc>
        <w:tc>
          <w:tcPr>
            <w:tcW w:w="1575" w:type="dxa"/>
          </w:tcPr>
          <w:p w14:paraId="52A3E897" w14:textId="77777777" w:rsidR="00895862" w:rsidRPr="00007C4B" w:rsidRDefault="00895862" w:rsidP="00C37D67">
            <w:pPr>
              <w:rPr>
                <w:rFonts w:cstheme="minorHAnsi"/>
                <w:sz w:val="24"/>
                <w:szCs w:val="24"/>
              </w:rPr>
            </w:pPr>
            <w:r w:rsidRPr="00007C4B">
              <w:rPr>
                <w:rFonts w:cstheme="minorHAnsi"/>
                <w:sz w:val="24"/>
                <w:szCs w:val="24"/>
              </w:rPr>
              <w:t>5.5</w:t>
            </w:r>
          </w:p>
        </w:tc>
        <w:tc>
          <w:tcPr>
            <w:tcW w:w="1570" w:type="dxa"/>
          </w:tcPr>
          <w:p w14:paraId="751EC923" w14:textId="77777777" w:rsidR="00895862" w:rsidRPr="00007C4B" w:rsidRDefault="00895862" w:rsidP="00C37D67">
            <w:pPr>
              <w:rPr>
                <w:rFonts w:cstheme="minorHAnsi"/>
                <w:sz w:val="24"/>
                <w:szCs w:val="24"/>
              </w:rPr>
            </w:pPr>
            <w:r w:rsidRPr="00007C4B">
              <w:rPr>
                <w:rFonts w:cstheme="minorHAnsi"/>
                <w:sz w:val="24"/>
                <w:szCs w:val="24"/>
              </w:rPr>
              <w:t>2.0</w:t>
            </w:r>
          </w:p>
        </w:tc>
        <w:tc>
          <w:tcPr>
            <w:tcW w:w="1714" w:type="dxa"/>
          </w:tcPr>
          <w:p w14:paraId="39172D37" w14:textId="77777777" w:rsidR="00895862" w:rsidRPr="00007C4B" w:rsidRDefault="00895862" w:rsidP="00C37D67">
            <w:pPr>
              <w:rPr>
                <w:rFonts w:cstheme="minorHAnsi"/>
                <w:sz w:val="24"/>
                <w:szCs w:val="24"/>
              </w:rPr>
            </w:pPr>
            <w:r w:rsidRPr="00007C4B">
              <w:rPr>
                <w:rFonts w:cstheme="minorHAnsi"/>
                <w:sz w:val="24"/>
                <w:szCs w:val="24"/>
              </w:rPr>
              <w:t>7%</w:t>
            </w:r>
          </w:p>
        </w:tc>
        <w:tc>
          <w:tcPr>
            <w:tcW w:w="1454" w:type="dxa"/>
          </w:tcPr>
          <w:p w14:paraId="492E673A" w14:textId="77777777" w:rsidR="00895862" w:rsidRPr="00007C4B" w:rsidRDefault="00895862" w:rsidP="00C37D67">
            <w:pPr>
              <w:rPr>
                <w:rFonts w:cstheme="minorHAnsi"/>
                <w:sz w:val="24"/>
                <w:szCs w:val="24"/>
              </w:rPr>
            </w:pPr>
            <w:r w:rsidRPr="00007C4B">
              <w:rPr>
                <w:rFonts w:cstheme="minorHAnsi"/>
                <w:sz w:val="24"/>
                <w:szCs w:val="24"/>
              </w:rPr>
              <w:t>-</w:t>
            </w:r>
          </w:p>
        </w:tc>
        <w:tc>
          <w:tcPr>
            <w:tcW w:w="1630" w:type="dxa"/>
          </w:tcPr>
          <w:p w14:paraId="143B0A85" w14:textId="77777777" w:rsidR="00895862" w:rsidRPr="00007C4B" w:rsidRDefault="00895862" w:rsidP="00C37D67">
            <w:pPr>
              <w:rPr>
                <w:rFonts w:cstheme="minorHAnsi"/>
                <w:sz w:val="24"/>
                <w:szCs w:val="24"/>
              </w:rPr>
            </w:pPr>
            <w:r w:rsidRPr="00007C4B">
              <w:rPr>
                <w:rFonts w:cstheme="minorHAnsi"/>
                <w:sz w:val="24"/>
                <w:szCs w:val="24"/>
              </w:rPr>
              <w:t>8%</w:t>
            </w:r>
          </w:p>
        </w:tc>
      </w:tr>
      <w:tr w:rsidR="00895862" w:rsidRPr="00007C4B" w14:paraId="4E063E82" w14:textId="77777777" w:rsidTr="00C37D67">
        <w:tc>
          <w:tcPr>
            <w:tcW w:w="1407" w:type="dxa"/>
          </w:tcPr>
          <w:p w14:paraId="3B2765C0" w14:textId="77777777" w:rsidR="00895862" w:rsidRPr="00007C4B" w:rsidRDefault="00895862" w:rsidP="00C37D67">
            <w:pPr>
              <w:rPr>
                <w:rFonts w:cstheme="minorHAnsi"/>
                <w:b/>
                <w:bCs/>
                <w:sz w:val="24"/>
                <w:szCs w:val="24"/>
              </w:rPr>
            </w:pPr>
            <w:r w:rsidRPr="00007C4B">
              <w:rPr>
                <w:rFonts w:cstheme="minorHAnsi"/>
                <w:b/>
                <w:bCs/>
                <w:sz w:val="24"/>
                <w:szCs w:val="24"/>
              </w:rPr>
              <w:t>CZ 8</w:t>
            </w:r>
          </w:p>
        </w:tc>
        <w:tc>
          <w:tcPr>
            <w:tcW w:w="1575" w:type="dxa"/>
          </w:tcPr>
          <w:p w14:paraId="717738E9" w14:textId="77777777" w:rsidR="00895862" w:rsidRPr="00007C4B" w:rsidRDefault="00895862" w:rsidP="00C37D67">
            <w:pPr>
              <w:rPr>
                <w:rFonts w:cstheme="minorHAnsi"/>
                <w:sz w:val="24"/>
                <w:szCs w:val="24"/>
              </w:rPr>
            </w:pPr>
            <w:r w:rsidRPr="00007C4B">
              <w:rPr>
                <w:rFonts w:cstheme="minorHAnsi"/>
                <w:sz w:val="24"/>
                <w:szCs w:val="24"/>
              </w:rPr>
              <w:t>3.5</w:t>
            </w:r>
          </w:p>
        </w:tc>
        <w:tc>
          <w:tcPr>
            <w:tcW w:w="1570" w:type="dxa"/>
          </w:tcPr>
          <w:p w14:paraId="05CF2B66" w14:textId="77777777" w:rsidR="00895862" w:rsidRPr="00007C4B" w:rsidRDefault="00895862" w:rsidP="00C37D67">
            <w:pPr>
              <w:rPr>
                <w:rFonts w:cstheme="minorHAnsi"/>
                <w:sz w:val="24"/>
                <w:szCs w:val="24"/>
              </w:rPr>
            </w:pPr>
            <w:r w:rsidRPr="00007C4B">
              <w:rPr>
                <w:rFonts w:cstheme="minorHAnsi"/>
                <w:sz w:val="24"/>
                <w:szCs w:val="24"/>
              </w:rPr>
              <w:t>1.5</w:t>
            </w:r>
          </w:p>
        </w:tc>
        <w:tc>
          <w:tcPr>
            <w:tcW w:w="1714" w:type="dxa"/>
          </w:tcPr>
          <w:p w14:paraId="77C09921" w14:textId="77777777" w:rsidR="00895862" w:rsidRPr="00007C4B" w:rsidRDefault="00895862" w:rsidP="00C37D67">
            <w:pPr>
              <w:rPr>
                <w:rFonts w:cstheme="minorHAnsi"/>
                <w:sz w:val="24"/>
                <w:szCs w:val="24"/>
              </w:rPr>
            </w:pPr>
            <w:r w:rsidRPr="00007C4B">
              <w:rPr>
                <w:rFonts w:cstheme="minorHAnsi"/>
                <w:sz w:val="24"/>
                <w:szCs w:val="24"/>
              </w:rPr>
              <w:t>6%</w:t>
            </w:r>
          </w:p>
        </w:tc>
        <w:tc>
          <w:tcPr>
            <w:tcW w:w="1454" w:type="dxa"/>
          </w:tcPr>
          <w:p w14:paraId="32BF8638" w14:textId="77777777" w:rsidR="00895862" w:rsidRPr="00007C4B" w:rsidRDefault="00895862" w:rsidP="00C37D67">
            <w:pPr>
              <w:rPr>
                <w:rFonts w:cstheme="minorHAnsi"/>
                <w:sz w:val="24"/>
                <w:szCs w:val="24"/>
              </w:rPr>
            </w:pPr>
            <w:r w:rsidRPr="00007C4B">
              <w:rPr>
                <w:rFonts w:cstheme="minorHAnsi"/>
                <w:sz w:val="24"/>
                <w:szCs w:val="24"/>
              </w:rPr>
              <w:t>3%</w:t>
            </w:r>
          </w:p>
        </w:tc>
        <w:tc>
          <w:tcPr>
            <w:tcW w:w="1630" w:type="dxa"/>
          </w:tcPr>
          <w:p w14:paraId="788CD64D" w14:textId="77777777" w:rsidR="00895862" w:rsidRPr="00007C4B" w:rsidRDefault="00895862" w:rsidP="00C37D67">
            <w:pPr>
              <w:rPr>
                <w:rFonts w:cstheme="minorHAnsi"/>
                <w:sz w:val="24"/>
                <w:szCs w:val="24"/>
              </w:rPr>
            </w:pPr>
            <w:r w:rsidRPr="00007C4B">
              <w:rPr>
                <w:rFonts w:cstheme="minorHAnsi"/>
                <w:sz w:val="24"/>
                <w:szCs w:val="24"/>
              </w:rPr>
              <w:t>7%</w:t>
            </w:r>
          </w:p>
        </w:tc>
      </w:tr>
      <w:tr w:rsidR="00895862" w:rsidRPr="00007C4B" w14:paraId="1F7D5954" w14:textId="77777777" w:rsidTr="00C37D67">
        <w:tc>
          <w:tcPr>
            <w:tcW w:w="1407" w:type="dxa"/>
          </w:tcPr>
          <w:p w14:paraId="6098E8DA" w14:textId="77777777" w:rsidR="00895862" w:rsidRPr="00007C4B" w:rsidRDefault="00895862" w:rsidP="00C37D67">
            <w:pPr>
              <w:rPr>
                <w:rFonts w:cstheme="minorHAnsi"/>
                <w:b/>
                <w:bCs/>
                <w:sz w:val="24"/>
                <w:szCs w:val="24"/>
              </w:rPr>
            </w:pPr>
            <w:r w:rsidRPr="00007C4B">
              <w:rPr>
                <w:rFonts w:cstheme="minorHAnsi"/>
                <w:b/>
                <w:bCs/>
                <w:sz w:val="24"/>
                <w:szCs w:val="24"/>
              </w:rPr>
              <w:t>CZ 9</w:t>
            </w:r>
          </w:p>
        </w:tc>
        <w:tc>
          <w:tcPr>
            <w:tcW w:w="1575" w:type="dxa"/>
          </w:tcPr>
          <w:p w14:paraId="6529D50D" w14:textId="77777777" w:rsidR="00895862" w:rsidRPr="00007C4B" w:rsidRDefault="00895862" w:rsidP="00C37D67">
            <w:pPr>
              <w:rPr>
                <w:rFonts w:cstheme="minorHAnsi"/>
                <w:sz w:val="24"/>
                <w:szCs w:val="24"/>
              </w:rPr>
            </w:pPr>
            <w:r w:rsidRPr="00007C4B">
              <w:rPr>
                <w:rFonts w:cstheme="minorHAnsi"/>
                <w:sz w:val="24"/>
                <w:szCs w:val="24"/>
              </w:rPr>
              <w:t>5.0</w:t>
            </w:r>
          </w:p>
        </w:tc>
        <w:tc>
          <w:tcPr>
            <w:tcW w:w="1570" w:type="dxa"/>
          </w:tcPr>
          <w:p w14:paraId="10DF361B" w14:textId="77777777" w:rsidR="00895862" w:rsidRPr="00007C4B" w:rsidRDefault="00895862" w:rsidP="00C37D67">
            <w:pPr>
              <w:rPr>
                <w:rFonts w:cstheme="minorHAnsi"/>
                <w:sz w:val="24"/>
                <w:szCs w:val="24"/>
              </w:rPr>
            </w:pPr>
            <w:r w:rsidRPr="00007C4B">
              <w:rPr>
                <w:rFonts w:cstheme="minorHAnsi"/>
                <w:sz w:val="24"/>
                <w:szCs w:val="24"/>
              </w:rPr>
              <w:t>2.0</w:t>
            </w:r>
          </w:p>
        </w:tc>
        <w:tc>
          <w:tcPr>
            <w:tcW w:w="1714" w:type="dxa"/>
          </w:tcPr>
          <w:p w14:paraId="5E2B703D" w14:textId="77777777" w:rsidR="00895862" w:rsidRPr="00007C4B" w:rsidRDefault="00895862" w:rsidP="00C37D67">
            <w:pPr>
              <w:rPr>
                <w:rFonts w:cstheme="minorHAnsi"/>
                <w:sz w:val="24"/>
                <w:szCs w:val="24"/>
              </w:rPr>
            </w:pPr>
            <w:r w:rsidRPr="00007C4B">
              <w:rPr>
                <w:rFonts w:cstheme="minorHAnsi"/>
                <w:sz w:val="24"/>
                <w:szCs w:val="24"/>
              </w:rPr>
              <w:t>5%</w:t>
            </w:r>
          </w:p>
        </w:tc>
        <w:tc>
          <w:tcPr>
            <w:tcW w:w="1454" w:type="dxa"/>
          </w:tcPr>
          <w:p w14:paraId="437DCA79" w14:textId="77777777" w:rsidR="00895862" w:rsidRPr="00007C4B" w:rsidRDefault="00895862" w:rsidP="00C37D67">
            <w:pPr>
              <w:rPr>
                <w:rFonts w:cstheme="minorHAnsi"/>
                <w:sz w:val="24"/>
                <w:szCs w:val="24"/>
              </w:rPr>
            </w:pPr>
            <w:r w:rsidRPr="00007C4B">
              <w:rPr>
                <w:rFonts w:cstheme="minorHAnsi"/>
                <w:sz w:val="24"/>
                <w:szCs w:val="24"/>
              </w:rPr>
              <w:t>1%</w:t>
            </w:r>
          </w:p>
        </w:tc>
        <w:tc>
          <w:tcPr>
            <w:tcW w:w="1630" w:type="dxa"/>
          </w:tcPr>
          <w:p w14:paraId="4BCD5687" w14:textId="77777777" w:rsidR="00895862" w:rsidRPr="00007C4B" w:rsidRDefault="00895862" w:rsidP="00C37D67">
            <w:pPr>
              <w:rPr>
                <w:rFonts w:cstheme="minorHAnsi"/>
                <w:sz w:val="24"/>
                <w:szCs w:val="24"/>
              </w:rPr>
            </w:pPr>
            <w:r w:rsidRPr="00007C4B">
              <w:rPr>
                <w:rFonts w:cstheme="minorHAnsi"/>
                <w:sz w:val="24"/>
                <w:szCs w:val="24"/>
              </w:rPr>
              <w:t>8%</w:t>
            </w:r>
          </w:p>
        </w:tc>
      </w:tr>
      <w:tr w:rsidR="00895862" w:rsidRPr="00007C4B" w14:paraId="760FCF54" w14:textId="77777777" w:rsidTr="00C37D67">
        <w:tc>
          <w:tcPr>
            <w:tcW w:w="1407" w:type="dxa"/>
          </w:tcPr>
          <w:p w14:paraId="26D8AEA7" w14:textId="77777777" w:rsidR="00895862" w:rsidRPr="00007C4B" w:rsidRDefault="00895862" w:rsidP="00C37D67">
            <w:pPr>
              <w:rPr>
                <w:rFonts w:cstheme="minorHAnsi"/>
                <w:b/>
                <w:bCs/>
                <w:sz w:val="24"/>
                <w:szCs w:val="24"/>
              </w:rPr>
            </w:pPr>
            <w:r w:rsidRPr="00007C4B">
              <w:rPr>
                <w:rFonts w:cstheme="minorHAnsi"/>
                <w:b/>
                <w:bCs/>
                <w:sz w:val="24"/>
                <w:szCs w:val="24"/>
              </w:rPr>
              <w:t>CZ 16</w:t>
            </w:r>
          </w:p>
        </w:tc>
        <w:tc>
          <w:tcPr>
            <w:tcW w:w="1575" w:type="dxa"/>
          </w:tcPr>
          <w:p w14:paraId="61B10CEA" w14:textId="77777777" w:rsidR="00895862" w:rsidRPr="00007C4B" w:rsidRDefault="00895862" w:rsidP="00C37D67">
            <w:pPr>
              <w:rPr>
                <w:rFonts w:cstheme="minorHAnsi"/>
                <w:sz w:val="24"/>
                <w:szCs w:val="24"/>
              </w:rPr>
            </w:pPr>
            <w:r w:rsidRPr="00007C4B">
              <w:rPr>
                <w:rFonts w:cstheme="minorHAnsi"/>
                <w:sz w:val="24"/>
                <w:szCs w:val="24"/>
              </w:rPr>
              <w:t>20.5</w:t>
            </w:r>
          </w:p>
        </w:tc>
        <w:tc>
          <w:tcPr>
            <w:tcW w:w="1570" w:type="dxa"/>
          </w:tcPr>
          <w:p w14:paraId="60495B73" w14:textId="77777777" w:rsidR="00895862" w:rsidRPr="00007C4B" w:rsidRDefault="00895862" w:rsidP="00C37D67">
            <w:pPr>
              <w:rPr>
                <w:rFonts w:cstheme="minorHAnsi"/>
                <w:sz w:val="24"/>
                <w:szCs w:val="24"/>
              </w:rPr>
            </w:pPr>
            <w:r w:rsidRPr="00007C4B">
              <w:rPr>
                <w:rFonts w:cstheme="minorHAnsi"/>
                <w:sz w:val="24"/>
                <w:szCs w:val="24"/>
              </w:rPr>
              <w:t>10.0</w:t>
            </w:r>
          </w:p>
        </w:tc>
        <w:tc>
          <w:tcPr>
            <w:tcW w:w="1714" w:type="dxa"/>
          </w:tcPr>
          <w:p w14:paraId="794640F0" w14:textId="77777777" w:rsidR="00895862" w:rsidRPr="00007C4B" w:rsidRDefault="00895862" w:rsidP="00C37D67">
            <w:pPr>
              <w:rPr>
                <w:rFonts w:cstheme="minorHAnsi"/>
                <w:sz w:val="24"/>
                <w:szCs w:val="24"/>
              </w:rPr>
            </w:pPr>
            <w:r w:rsidRPr="00007C4B">
              <w:rPr>
                <w:rFonts w:cstheme="minorHAnsi"/>
                <w:sz w:val="24"/>
                <w:szCs w:val="24"/>
              </w:rPr>
              <w:t>17%</w:t>
            </w:r>
          </w:p>
        </w:tc>
        <w:tc>
          <w:tcPr>
            <w:tcW w:w="1454" w:type="dxa"/>
          </w:tcPr>
          <w:p w14:paraId="17362230" w14:textId="77777777" w:rsidR="00895862" w:rsidRPr="00007C4B" w:rsidRDefault="00895862" w:rsidP="00C37D67">
            <w:pPr>
              <w:rPr>
                <w:rFonts w:cstheme="minorHAnsi"/>
                <w:sz w:val="24"/>
                <w:szCs w:val="24"/>
              </w:rPr>
            </w:pPr>
            <w:r w:rsidRPr="00007C4B">
              <w:rPr>
                <w:rFonts w:cstheme="minorHAnsi"/>
                <w:sz w:val="24"/>
                <w:szCs w:val="24"/>
              </w:rPr>
              <w:t>6%</w:t>
            </w:r>
          </w:p>
        </w:tc>
        <w:tc>
          <w:tcPr>
            <w:tcW w:w="1630" w:type="dxa"/>
          </w:tcPr>
          <w:p w14:paraId="12CA4D9A" w14:textId="77777777" w:rsidR="00895862" w:rsidRPr="00007C4B" w:rsidRDefault="00895862" w:rsidP="00C37D67">
            <w:pPr>
              <w:rPr>
                <w:rFonts w:cstheme="minorHAnsi"/>
                <w:sz w:val="24"/>
                <w:szCs w:val="24"/>
              </w:rPr>
            </w:pPr>
            <w:r w:rsidRPr="00007C4B">
              <w:rPr>
                <w:rFonts w:cstheme="minorHAnsi"/>
                <w:sz w:val="24"/>
                <w:szCs w:val="24"/>
              </w:rPr>
              <w:t>5%</w:t>
            </w:r>
          </w:p>
        </w:tc>
      </w:tr>
    </w:tbl>
    <w:p w14:paraId="5791C72B" w14:textId="77777777" w:rsidR="00895862" w:rsidRPr="00007C4B" w:rsidRDefault="00895862" w:rsidP="00895862">
      <w:pPr>
        <w:rPr>
          <w:rFonts w:cstheme="minorHAnsi"/>
          <w:b/>
          <w:bCs/>
          <w:sz w:val="24"/>
          <w:szCs w:val="24"/>
          <w:u w:val="single"/>
        </w:rPr>
      </w:pPr>
    </w:p>
    <w:p w14:paraId="65497E8A" w14:textId="0B85E9AF" w:rsidR="006218A5" w:rsidRPr="006A5B35" w:rsidRDefault="006218A5">
      <w:pPr>
        <w:rPr>
          <w:rFonts w:cstheme="minorHAnsi"/>
          <w:b/>
          <w:bCs/>
          <w:sz w:val="24"/>
          <w:szCs w:val="24"/>
          <w:u w:val="single"/>
        </w:rPr>
      </w:pPr>
    </w:p>
    <w:sectPr w:rsidR="006218A5" w:rsidRPr="006A5B35" w:rsidSect="00474D1B">
      <w:footerReference w:type="default" r:id="rId15"/>
      <w:headerReference w:type="first" r:id="rId16"/>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Taylor, Taylor" w:date="2024-03-29T16:51:00Z" w:initials="TT">
    <w:p w14:paraId="54BBAA62" w14:textId="556F7966" w:rsidR="0005337B" w:rsidRDefault="0005337B" w:rsidP="0005337B">
      <w:pPr>
        <w:pStyle w:val="CommentText"/>
      </w:pPr>
      <w:r>
        <w:rPr>
          <w:rStyle w:val="CommentReference"/>
        </w:rPr>
        <w:annotationRef/>
      </w:r>
      <w:r>
        <w:t>Reference Table 1 (Nonresidential column), by relevant climate zone.</w:t>
      </w:r>
    </w:p>
  </w:comment>
  <w:comment w:id="2" w:author="Taylor, Taylor" w:date="2024-03-29T16:52:00Z" w:initials="TT">
    <w:p w14:paraId="05F0480C" w14:textId="77777777" w:rsidR="0005337B" w:rsidRDefault="0005337B" w:rsidP="0005337B">
      <w:pPr>
        <w:pStyle w:val="CommentText"/>
      </w:pPr>
      <w:r>
        <w:rPr>
          <w:rStyle w:val="CommentReference"/>
        </w:rPr>
        <w:annotationRef/>
      </w:r>
      <w:r>
        <w:t>Reference Table 1 (Single Family column), by relevant climate zone.</w:t>
      </w:r>
    </w:p>
  </w:comment>
  <w:comment w:id="4" w:author="Taylor, Taylor" w:date="2024-04-26T16:57:00Z" w:initials="TT">
    <w:p w14:paraId="6937B43D" w14:textId="77777777" w:rsidR="00522C1F" w:rsidRDefault="00522C1F" w:rsidP="00522C1F">
      <w:pPr>
        <w:pStyle w:val="CommentText"/>
      </w:pPr>
      <w:r>
        <w:rPr>
          <w:rStyle w:val="CommentReference"/>
        </w:rPr>
        <w:annotationRef/>
      </w:r>
      <w:r>
        <w:t>Reference Table 1 (Single Family</w:t>
      </w:r>
    </w:p>
    <w:p w14:paraId="190A7BC7" w14:textId="77777777" w:rsidR="00522C1F" w:rsidRDefault="00522C1F" w:rsidP="00522C1F">
      <w:pPr>
        <w:pStyle w:val="CommentText"/>
      </w:pPr>
      <w:r>
        <w:t>Less than 1,500 sq ft column) by relevant climate zone, and discuss with TRC.</w:t>
      </w:r>
    </w:p>
  </w:comment>
  <w:comment w:id="3" w:author="Taylor, Taylor" w:date="2024-06-10T15:58:00Z" w:initials="TT">
    <w:p w14:paraId="1091EE28" w14:textId="77777777" w:rsidR="00522C1F" w:rsidRDefault="00522C1F" w:rsidP="00522C1F">
      <w:pPr>
        <w:pStyle w:val="CommentText"/>
      </w:pPr>
      <w:r>
        <w:rPr>
          <w:rStyle w:val="CommentReference"/>
        </w:rPr>
        <w:annotationRef/>
      </w:r>
      <w:r>
        <w:t>ADDED 6/10</w:t>
      </w:r>
    </w:p>
  </w:comment>
  <w:comment w:id="5" w:author="Taylor, Taylor" w:date="2024-03-29T16:57:00Z" w:initials="TT">
    <w:p w14:paraId="542265FE" w14:textId="53EE4F83" w:rsidR="007B6FEA" w:rsidRDefault="007B6FEA" w:rsidP="007B6FEA">
      <w:pPr>
        <w:pStyle w:val="CommentText"/>
      </w:pPr>
      <w:r>
        <w:rPr>
          <w:rStyle w:val="CommentReference"/>
        </w:rPr>
        <w:annotationRef/>
      </w:r>
      <w:r>
        <w:t>Reference Table 1 (Low-Rise Multifamily column), by relevant climate zone.</w:t>
      </w:r>
    </w:p>
  </w:comment>
  <w:comment w:id="6" w:author="Taylor, Taylor" w:date="2024-03-29T16:56:00Z" w:initials="TT">
    <w:p w14:paraId="3950F5F6" w14:textId="750F593E" w:rsidR="007B6FEA" w:rsidRDefault="007B6FEA" w:rsidP="007B6FEA">
      <w:pPr>
        <w:pStyle w:val="CommentText"/>
      </w:pPr>
      <w:r>
        <w:rPr>
          <w:rStyle w:val="CommentReference"/>
        </w:rPr>
        <w:annotationRef/>
      </w:r>
      <w:r>
        <w:t>Reference Table 1 (High-Rise Multifamily column), by relevant climate zone.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BBAA62" w15:done="0"/>
  <w15:commentEx w15:paraId="05F0480C" w15:done="0"/>
  <w15:commentEx w15:paraId="190A7BC7" w15:done="0"/>
  <w15:commentEx w15:paraId="1091EE28" w15:done="0"/>
  <w15:commentEx w15:paraId="542265FE" w15:done="0"/>
  <w15:commentEx w15:paraId="3950F5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C513D1" w16cex:dateUtc="2024-03-29T23:51:00Z"/>
  <w16cex:commentExtensible w16cex:durableId="0D77B3E7" w16cex:dateUtc="2024-03-29T23:52:00Z"/>
  <w16cex:commentExtensible w16cex:durableId="53777CA5" w16cex:dateUtc="2024-04-26T23:57:00Z"/>
  <w16cex:commentExtensible w16cex:durableId="09425CE6" w16cex:dateUtc="2024-06-10T22:58:00Z"/>
  <w16cex:commentExtensible w16cex:durableId="7F693DF9" w16cex:dateUtc="2024-03-29T23:57:00Z"/>
  <w16cex:commentExtensible w16cex:durableId="7D2F2F68" w16cex:dateUtc="2024-03-29T2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BBAA62" w16cid:durableId="5CC513D1"/>
  <w16cid:commentId w16cid:paraId="05F0480C" w16cid:durableId="0D77B3E7"/>
  <w16cid:commentId w16cid:paraId="190A7BC7" w16cid:durableId="53777CA5"/>
  <w16cid:commentId w16cid:paraId="1091EE28" w16cid:durableId="09425CE6"/>
  <w16cid:commentId w16cid:paraId="542265FE" w16cid:durableId="7F693DF9"/>
  <w16cid:commentId w16cid:paraId="3950F5F6" w16cid:durableId="7D2F2F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07DC8" w14:textId="77777777" w:rsidR="004409E4" w:rsidRDefault="004409E4" w:rsidP="00E06F5D">
      <w:pPr>
        <w:spacing w:after="0" w:line="240" w:lineRule="auto"/>
      </w:pPr>
      <w:r>
        <w:separator/>
      </w:r>
    </w:p>
  </w:endnote>
  <w:endnote w:type="continuationSeparator" w:id="0">
    <w:p w14:paraId="7550776B" w14:textId="77777777" w:rsidR="004409E4" w:rsidRDefault="004409E4" w:rsidP="00E06F5D">
      <w:pPr>
        <w:spacing w:after="0" w:line="240" w:lineRule="auto"/>
      </w:pPr>
      <w:r>
        <w:continuationSeparator/>
      </w:r>
    </w:p>
  </w:endnote>
  <w:endnote w:type="continuationNotice" w:id="1">
    <w:p w14:paraId="11B8161E" w14:textId="77777777" w:rsidR="004409E4" w:rsidRDefault="004409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861657"/>
      <w:docPartObj>
        <w:docPartGallery w:val="Page Numbers (Bottom of Page)"/>
        <w:docPartUnique/>
      </w:docPartObj>
    </w:sdtPr>
    <w:sdtEndPr>
      <w:rPr>
        <w:noProof/>
      </w:rPr>
    </w:sdtEndPr>
    <w:sdtContent>
      <w:p w14:paraId="7A3D8451" w14:textId="3EF0EF0C" w:rsidR="00B86E61" w:rsidRDefault="00B86E61">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18</w:t>
        </w:r>
      </w:p>
    </w:sdtContent>
  </w:sdt>
  <w:p w14:paraId="4FD9D507" w14:textId="77777777" w:rsidR="00B86E61" w:rsidRDefault="00B86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F7F72" w14:textId="77777777" w:rsidR="004409E4" w:rsidRDefault="004409E4" w:rsidP="00E06F5D">
      <w:pPr>
        <w:spacing w:after="0" w:line="240" w:lineRule="auto"/>
      </w:pPr>
      <w:r>
        <w:separator/>
      </w:r>
    </w:p>
  </w:footnote>
  <w:footnote w:type="continuationSeparator" w:id="0">
    <w:p w14:paraId="05CE1F71" w14:textId="77777777" w:rsidR="004409E4" w:rsidRDefault="004409E4" w:rsidP="00E06F5D">
      <w:pPr>
        <w:spacing w:after="0" w:line="240" w:lineRule="auto"/>
      </w:pPr>
      <w:r>
        <w:continuationSeparator/>
      </w:r>
    </w:p>
  </w:footnote>
  <w:footnote w:type="continuationNotice" w:id="1">
    <w:p w14:paraId="35CFF30E" w14:textId="77777777" w:rsidR="004409E4" w:rsidRDefault="004409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B60F8" w14:textId="77777777" w:rsidR="00FC4BC9" w:rsidRPr="00932376" w:rsidRDefault="00FC4BC9" w:rsidP="00FC4BC9">
    <w:pPr>
      <w:pStyle w:val="Header"/>
      <w:rPr>
        <w:b/>
        <w:bCs/>
        <w:color w:val="000000"/>
        <w:sz w:val="27"/>
        <w:szCs w:val="27"/>
      </w:rPr>
    </w:pPr>
    <w:r w:rsidRPr="00932376">
      <w:rPr>
        <w:b/>
        <w:bCs/>
        <w:color w:val="000000"/>
        <w:sz w:val="27"/>
        <w:szCs w:val="27"/>
      </w:rPr>
      <w:t xml:space="preserve">California </w:t>
    </w:r>
    <w:r w:rsidRPr="00932376">
      <w:rPr>
        <w:b/>
        <w:bCs/>
        <w:color w:val="000000"/>
        <w:sz w:val="27"/>
        <w:szCs w:val="27"/>
      </w:rPr>
      <w:t>Energy Performance Part 6</w:t>
    </w:r>
    <w:r w:rsidRPr="00932376">
      <w:rPr>
        <w:b/>
        <w:bCs/>
        <w:color w:val="000000"/>
        <w:sz w:val="27"/>
        <w:szCs w:val="27"/>
      </w:rPr>
      <w:t xml:space="preserve"> Model Reach Code – 2024 </w:t>
    </w:r>
  </w:p>
  <w:p w14:paraId="1C0FAE53" w14:textId="44FA2933" w:rsidR="0071219C" w:rsidRPr="00932376" w:rsidRDefault="00FC4BC9" w:rsidP="00FC4BC9">
    <w:pPr>
      <w:pStyle w:val="Header"/>
      <w:rPr>
        <w:i/>
        <w:iCs/>
      </w:rPr>
    </w:pPr>
    <w:r w:rsidRPr="00932376">
      <w:rPr>
        <w:i/>
        <w:iCs/>
        <w:color w:val="000000"/>
        <w:sz w:val="27"/>
        <w:szCs w:val="27"/>
      </w:rPr>
      <w:t xml:space="preserve">Draft </w:t>
    </w:r>
    <w:proofErr w:type="gramStart"/>
    <w:r w:rsidRPr="00932376">
      <w:rPr>
        <w:i/>
        <w:iCs/>
        <w:color w:val="000000"/>
        <w:sz w:val="27"/>
        <w:szCs w:val="27"/>
      </w:rPr>
      <w:t>7/1/2024</w:t>
    </w:r>
    <w:proofErr w:type="gramEnd"/>
    <w:r w:rsidR="0071219C" w:rsidRPr="00932376">
      <w:rPr>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5A22918"/>
    <w:lvl w:ilvl="0">
      <w:start w:val="1"/>
      <w:numFmt w:val="decimal"/>
      <w:pStyle w:val="ListNumber2"/>
      <w:lvlText w:val="%1."/>
      <w:lvlJc w:val="left"/>
      <w:pPr>
        <w:tabs>
          <w:tab w:val="num" w:pos="1080"/>
        </w:tabs>
        <w:ind w:left="1440" w:hanging="360"/>
      </w:pPr>
      <w:rPr>
        <w:rFonts w:hint="default"/>
      </w:rPr>
    </w:lvl>
  </w:abstractNum>
  <w:abstractNum w:abstractNumId="1" w15:restartNumberingAfterBreak="0">
    <w:nsid w:val="030F0F3C"/>
    <w:multiLevelType w:val="multilevel"/>
    <w:tmpl w:val="34DE6F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8063F0"/>
    <w:multiLevelType w:val="hybridMultilevel"/>
    <w:tmpl w:val="449C761A"/>
    <w:lvl w:ilvl="0" w:tplc="B34C0358">
      <w:start w:val="1"/>
      <w:numFmt w:val="lowerLetter"/>
      <w:lvlText w:val="(%1)"/>
      <w:lvlJc w:val="left"/>
      <w:pPr>
        <w:ind w:left="695" w:hanging="262"/>
      </w:pPr>
      <w:rPr>
        <w:rFonts w:ascii="Calibri" w:eastAsia="Calibri" w:hAnsi="Calibri" w:cs="Calibri" w:hint="default"/>
        <w:b w:val="0"/>
        <w:bCs w:val="0"/>
        <w:i w:val="0"/>
        <w:iCs w:val="0"/>
        <w:spacing w:val="-1"/>
        <w:w w:val="99"/>
        <w:sz w:val="20"/>
        <w:szCs w:val="20"/>
        <w:lang w:val="en-US" w:eastAsia="en-US" w:bidi="ar-SA"/>
      </w:rPr>
    </w:lvl>
    <w:lvl w:ilvl="1" w:tplc="6AF01608">
      <w:start w:val="1"/>
      <w:numFmt w:val="decimal"/>
      <w:lvlText w:val="%2."/>
      <w:lvlJc w:val="left"/>
      <w:pPr>
        <w:ind w:left="1055" w:hanging="360"/>
      </w:pPr>
      <w:rPr>
        <w:rFonts w:ascii="Arial" w:eastAsia="Calibri" w:hAnsi="Arial" w:cs="Arial" w:hint="default"/>
        <w:b w:val="0"/>
        <w:bCs w:val="0"/>
        <w:i w:val="0"/>
        <w:iCs w:val="0"/>
        <w:spacing w:val="-1"/>
        <w:w w:val="99"/>
        <w:sz w:val="24"/>
        <w:szCs w:val="24"/>
        <w:lang w:val="en-US" w:eastAsia="en-US" w:bidi="ar-SA"/>
      </w:rPr>
    </w:lvl>
    <w:lvl w:ilvl="2" w:tplc="C4429866">
      <w:start w:val="1"/>
      <w:numFmt w:val="upperLetter"/>
      <w:lvlText w:val="%3."/>
      <w:lvlJc w:val="left"/>
      <w:pPr>
        <w:ind w:left="1414" w:hanging="360"/>
      </w:pPr>
      <w:rPr>
        <w:rFonts w:ascii="Arial" w:eastAsia="Calibri" w:hAnsi="Arial" w:cs="Arial" w:hint="default"/>
        <w:b w:val="0"/>
        <w:bCs w:val="0"/>
        <w:i w:val="0"/>
        <w:iCs w:val="0"/>
        <w:spacing w:val="-1"/>
        <w:w w:val="99"/>
        <w:sz w:val="24"/>
        <w:szCs w:val="24"/>
        <w:lang w:val="en-US" w:eastAsia="en-US" w:bidi="ar-SA"/>
      </w:rPr>
    </w:lvl>
    <w:lvl w:ilvl="3" w:tplc="4928DC4C">
      <w:start w:val="1"/>
      <w:numFmt w:val="lowerRoman"/>
      <w:lvlText w:val="%4."/>
      <w:lvlJc w:val="left"/>
      <w:pPr>
        <w:ind w:left="1774" w:hanging="360"/>
        <w:jc w:val="right"/>
      </w:pPr>
      <w:rPr>
        <w:rFonts w:ascii="Arial" w:eastAsia="Calibri" w:hAnsi="Arial" w:cs="Arial" w:hint="default"/>
        <w:b w:val="0"/>
        <w:bCs w:val="0"/>
        <w:i w:val="0"/>
        <w:iCs w:val="0"/>
        <w:spacing w:val="-1"/>
        <w:w w:val="99"/>
        <w:sz w:val="24"/>
        <w:szCs w:val="24"/>
        <w:lang w:val="en-US" w:eastAsia="en-US" w:bidi="ar-SA"/>
      </w:rPr>
    </w:lvl>
    <w:lvl w:ilvl="4" w:tplc="A2E6DEFC">
      <w:numFmt w:val="bullet"/>
      <w:lvlText w:val="•"/>
      <w:lvlJc w:val="left"/>
      <w:pPr>
        <w:ind w:left="3037" w:hanging="360"/>
      </w:pPr>
      <w:rPr>
        <w:rFonts w:hint="default"/>
        <w:lang w:val="en-US" w:eastAsia="en-US" w:bidi="ar-SA"/>
      </w:rPr>
    </w:lvl>
    <w:lvl w:ilvl="5" w:tplc="EC38A072">
      <w:numFmt w:val="bullet"/>
      <w:lvlText w:val="•"/>
      <w:lvlJc w:val="left"/>
      <w:pPr>
        <w:ind w:left="4294" w:hanging="360"/>
      </w:pPr>
      <w:rPr>
        <w:rFonts w:hint="default"/>
        <w:lang w:val="en-US" w:eastAsia="en-US" w:bidi="ar-SA"/>
      </w:rPr>
    </w:lvl>
    <w:lvl w:ilvl="6" w:tplc="D28AAE2E">
      <w:numFmt w:val="bullet"/>
      <w:lvlText w:val="•"/>
      <w:lvlJc w:val="left"/>
      <w:pPr>
        <w:ind w:left="5551" w:hanging="360"/>
      </w:pPr>
      <w:rPr>
        <w:rFonts w:hint="default"/>
        <w:lang w:val="en-US" w:eastAsia="en-US" w:bidi="ar-SA"/>
      </w:rPr>
    </w:lvl>
    <w:lvl w:ilvl="7" w:tplc="C6845C6C">
      <w:numFmt w:val="bullet"/>
      <w:lvlText w:val="•"/>
      <w:lvlJc w:val="left"/>
      <w:pPr>
        <w:ind w:left="6808" w:hanging="360"/>
      </w:pPr>
      <w:rPr>
        <w:rFonts w:hint="default"/>
        <w:lang w:val="en-US" w:eastAsia="en-US" w:bidi="ar-SA"/>
      </w:rPr>
    </w:lvl>
    <w:lvl w:ilvl="8" w:tplc="F6E43DB0">
      <w:numFmt w:val="bullet"/>
      <w:lvlText w:val="•"/>
      <w:lvlJc w:val="left"/>
      <w:pPr>
        <w:ind w:left="8065" w:hanging="360"/>
      </w:pPr>
      <w:rPr>
        <w:rFonts w:hint="default"/>
        <w:lang w:val="en-US" w:eastAsia="en-US" w:bidi="ar-SA"/>
      </w:rPr>
    </w:lvl>
  </w:abstractNum>
  <w:abstractNum w:abstractNumId="3" w15:restartNumberingAfterBreak="0">
    <w:nsid w:val="17C4730F"/>
    <w:multiLevelType w:val="hybridMultilevel"/>
    <w:tmpl w:val="268E5C3E"/>
    <w:lvl w:ilvl="0" w:tplc="FFFFFFFF">
      <w:start w:val="1"/>
      <w:numFmt w:val="lowerLetter"/>
      <w:lvlText w:val="%1)"/>
      <w:lvlJc w:val="left"/>
      <w:pPr>
        <w:ind w:left="720" w:hanging="360"/>
      </w:pPr>
      <w:rPr>
        <w:rFonts w:asciiTheme="minorHAnsi" w:eastAsiaTheme="majorEastAsia"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343DDE"/>
    <w:multiLevelType w:val="hybridMultilevel"/>
    <w:tmpl w:val="6BB2EA52"/>
    <w:lvl w:ilvl="0" w:tplc="CBF4C380">
      <w:start w:val="1"/>
      <w:numFmt w:val="lowerLetter"/>
      <w:lvlText w:val="(%1)"/>
      <w:lvlJc w:val="left"/>
      <w:pPr>
        <w:ind w:left="835" w:hanging="360"/>
      </w:pPr>
      <w:rPr>
        <w:rFonts w:ascii="Arial" w:eastAsia="Times New Roman" w:hAnsi="Arial" w:cs="Arial" w:hint="default"/>
        <w:w w:val="99"/>
        <w:sz w:val="22"/>
        <w:szCs w:val="22"/>
        <w:lang w:val="en-US" w:eastAsia="en-US" w:bidi="en-US"/>
      </w:rPr>
    </w:lvl>
    <w:lvl w:ilvl="1" w:tplc="798A1D0A">
      <w:numFmt w:val="bullet"/>
      <w:lvlText w:val="•"/>
      <w:lvlJc w:val="left"/>
      <w:pPr>
        <w:ind w:left="1826" w:hanging="360"/>
      </w:pPr>
      <w:rPr>
        <w:rFonts w:hint="default"/>
        <w:lang w:val="en-US" w:eastAsia="en-US" w:bidi="en-US"/>
      </w:rPr>
    </w:lvl>
    <w:lvl w:ilvl="2" w:tplc="68AE71A8">
      <w:numFmt w:val="bullet"/>
      <w:lvlText w:val="•"/>
      <w:lvlJc w:val="left"/>
      <w:pPr>
        <w:ind w:left="2812" w:hanging="360"/>
      </w:pPr>
      <w:rPr>
        <w:rFonts w:hint="default"/>
        <w:lang w:val="en-US" w:eastAsia="en-US" w:bidi="en-US"/>
      </w:rPr>
    </w:lvl>
    <w:lvl w:ilvl="3" w:tplc="A5F63874">
      <w:numFmt w:val="bullet"/>
      <w:lvlText w:val="•"/>
      <w:lvlJc w:val="left"/>
      <w:pPr>
        <w:ind w:left="3798" w:hanging="360"/>
      </w:pPr>
      <w:rPr>
        <w:rFonts w:hint="default"/>
        <w:lang w:val="en-US" w:eastAsia="en-US" w:bidi="en-US"/>
      </w:rPr>
    </w:lvl>
    <w:lvl w:ilvl="4" w:tplc="4D1EE796">
      <w:numFmt w:val="bullet"/>
      <w:lvlText w:val="•"/>
      <w:lvlJc w:val="left"/>
      <w:pPr>
        <w:ind w:left="4784" w:hanging="360"/>
      </w:pPr>
      <w:rPr>
        <w:rFonts w:hint="default"/>
        <w:lang w:val="en-US" w:eastAsia="en-US" w:bidi="en-US"/>
      </w:rPr>
    </w:lvl>
    <w:lvl w:ilvl="5" w:tplc="00180B78">
      <w:numFmt w:val="bullet"/>
      <w:lvlText w:val="•"/>
      <w:lvlJc w:val="left"/>
      <w:pPr>
        <w:ind w:left="5770" w:hanging="360"/>
      </w:pPr>
      <w:rPr>
        <w:rFonts w:hint="default"/>
        <w:lang w:val="en-US" w:eastAsia="en-US" w:bidi="en-US"/>
      </w:rPr>
    </w:lvl>
    <w:lvl w:ilvl="6" w:tplc="50E6E2FE">
      <w:numFmt w:val="bullet"/>
      <w:lvlText w:val="•"/>
      <w:lvlJc w:val="left"/>
      <w:pPr>
        <w:ind w:left="6756" w:hanging="360"/>
      </w:pPr>
      <w:rPr>
        <w:rFonts w:hint="default"/>
        <w:lang w:val="en-US" w:eastAsia="en-US" w:bidi="en-US"/>
      </w:rPr>
    </w:lvl>
    <w:lvl w:ilvl="7" w:tplc="CBAAB2DA">
      <w:numFmt w:val="bullet"/>
      <w:lvlText w:val="•"/>
      <w:lvlJc w:val="left"/>
      <w:pPr>
        <w:ind w:left="7742" w:hanging="360"/>
      </w:pPr>
      <w:rPr>
        <w:rFonts w:hint="default"/>
        <w:lang w:val="en-US" w:eastAsia="en-US" w:bidi="en-US"/>
      </w:rPr>
    </w:lvl>
    <w:lvl w:ilvl="8" w:tplc="EA685E92">
      <w:numFmt w:val="bullet"/>
      <w:lvlText w:val="•"/>
      <w:lvlJc w:val="left"/>
      <w:pPr>
        <w:ind w:left="8728" w:hanging="360"/>
      </w:pPr>
      <w:rPr>
        <w:rFonts w:hint="default"/>
        <w:lang w:val="en-US" w:eastAsia="en-US" w:bidi="en-US"/>
      </w:rPr>
    </w:lvl>
  </w:abstractNum>
  <w:abstractNum w:abstractNumId="5" w15:restartNumberingAfterBreak="0">
    <w:nsid w:val="2D6543FE"/>
    <w:multiLevelType w:val="hybridMultilevel"/>
    <w:tmpl w:val="268E5C3E"/>
    <w:lvl w:ilvl="0" w:tplc="38C2EE86">
      <w:start w:val="1"/>
      <w:numFmt w:val="lowerLetter"/>
      <w:lvlText w:val="%1)"/>
      <w:lvlJc w:val="left"/>
      <w:pPr>
        <w:ind w:left="720" w:hanging="360"/>
      </w:pPr>
      <w:rPr>
        <w:rFonts w:asciiTheme="minorHAnsi" w:eastAsiaTheme="maj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B69FA"/>
    <w:multiLevelType w:val="hybridMultilevel"/>
    <w:tmpl w:val="3BF6CDC8"/>
    <w:lvl w:ilvl="0" w:tplc="30A81188">
      <w:start w:val="1"/>
      <w:numFmt w:val="lowerLetter"/>
      <w:lvlText w:val="%1."/>
      <w:lvlJc w:val="left"/>
      <w:pPr>
        <w:ind w:left="720" w:hanging="360"/>
      </w:pPr>
    </w:lvl>
    <w:lvl w:ilvl="1" w:tplc="F202EE72">
      <w:start w:val="1"/>
      <w:numFmt w:val="lowerLetter"/>
      <w:lvlText w:val="%2."/>
      <w:lvlJc w:val="left"/>
      <w:pPr>
        <w:ind w:left="1440" w:hanging="360"/>
      </w:pPr>
    </w:lvl>
    <w:lvl w:ilvl="2" w:tplc="216EEFA4">
      <w:start w:val="1"/>
      <w:numFmt w:val="lowerRoman"/>
      <w:lvlText w:val="%3."/>
      <w:lvlJc w:val="right"/>
      <w:pPr>
        <w:ind w:left="2160" w:hanging="180"/>
      </w:pPr>
    </w:lvl>
    <w:lvl w:ilvl="3" w:tplc="18A4BAFA">
      <w:start w:val="1"/>
      <w:numFmt w:val="decimal"/>
      <w:lvlText w:val="%4."/>
      <w:lvlJc w:val="left"/>
      <w:pPr>
        <w:ind w:left="2880" w:hanging="360"/>
      </w:pPr>
    </w:lvl>
    <w:lvl w:ilvl="4" w:tplc="B844866A">
      <w:start w:val="1"/>
      <w:numFmt w:val="lowerLetter"/>
      <w:lvlText w:val="%5."/>
      <w:lvlJc w:val="left"/>
      <w:pPr>
        <w:ind w:left="3600" w:hanging="360"/>
      </w:pPr>
    </w:lvl>
    <w:lvl w:ilvl="5" w:tplc="10D89BCA">
      <w:start w:val="1"/>
      <w:numFmt w:val="lowerRoman"/>
      <w:lvlText w:val="%6."/>
      <w:lvlJc w:val="right"/>
      <w:pPr>
        <w:ind w:left="4320" w:hanging="180"/>
      </w:pPr>
    </w:lvl>
    <w:lvl w:ilvl="6" w:tplc="0AC8108C">
      <w:start w:val="1"/>
      <w:numFmt w:val="decimal"/>
      <w:lvlText w:val="%7."/>
      <w:lvlJc w:val="left"/>
      <w:pPr>
        <w:ind w:left="5040" w:hanging="360"/>
      </w:pPr>
    </w:lvl>
    <w:lvl w:ilvl="7" w:tplc="430A6302">
      <w:start w:val="1"/>
      <w:numFmt w:val="lowerLetter"/>
      <w:lvlText w:val="%8."/>
      <w:lvlJc w:val="left"/>
      <w:pPr>
        <w:ind w:left="5760" w:hanging="360"/>
      </w:pPr>
    </w:lvl>
    <w:lvl w:ilvl="8" w:tplc="A638312A">
      <w:start w:val="1"/>
      <w:numFmt w:val="lowerRoman"/>
      <w:lvlText w:val="%9."/>
      <w:lvlJc w:val="right"/>
      <w:pPr>
        <w:ind w:left="6480" w:hanging="180"/>
      </w:pPr>
    </w:lvl>
  </w:abstractNum>
  <w:abstractNum w:abstractNumId="7" w15:restartNumberingAfterBreak="0">
    <w:nsid w:val="3F5A8EB5"/>
    <w:multiLevelType w:val="hybridMultilevel"/>
    <w:tmpl w:val="8CF88C16"/>
    <w:lvl w:ilvl="0" w:tplc="A4A270AE">
      <w:start w:val="1"/>
      <w:numFmt w:val="decimal"/>
      <w:lvlText w:val="%1."/>
      <w:lvlJc w:val="left"/>
      <w:pPr>
        <w:ind w:left="720" w:hanging="360"/>
      </w:pPr>
    </w:lvl>
    <w:lvl w:ilvl="1" w:tplc="5EC88B32">
      <w:start w:val="1"/>
      <w:numFmt w:val="lowerLetter"/>
      <w:lvlText w:val="%2."/>
      <w:lvlJc w:val="left"/>
      <w:pPr>
        <w:ind w:left="1440" w:hanging="360"/>
      </w:pPr>
    </w:lvl>
    <w:lvl w:ilvl="2" w:tplc="6F907EEC">
      <w:start w:val="1"/>
      <w:numFmt w:val="lowerRoman"/>
      <w:lvlText w:val="%3."/>
      <w:lvlJc w:val="right"/>
      <w:pPr>
        <w:ind w:left="2160" w:hanging="180"/>
      </w:pPr>
    </w:lvl>
    <w:lvl w:ilvl="3" w:tplc="84FC39F4">
      <w:start w:val="1"/>
      <w:numFmt w:val="decimal"/>
      <w:lvlText w:val="%4."/>
      <w:lvlJc w:val="left"/>
      <w:pPr>
        <w:ind w:left="2880" w:hanging="360"/>
      </w:pPr>
    </w:lvl>
    <w:lvl w:ilvl="4" w:tplc="9686391A">
      <w:start w:val="1"/>
      <w:numFmt w:val="lowerLetter"/>
      <w:lvlText w:val="%5."/>
      <w:lvlJc w:val="left"/>
      <w:pPr>
        <w:ind w:left="3600" w:hanging="360"/>
      </w:pPr>
    </w:lvl>
    <w:lvl w:ilvl="5" w:tplc="E3A850E8">
      <w:start w:val="1"/>
      <w:numFmt w:val="lowerRoman"/>
      <w:lvlText w:val="%6."/>
      <w:lvlJc w:val="right"/>
      <w:pPr>
        <w:ind w:left="4320" w:hanging="180"/>
      </w:pPr>
    </w:lvl>
    <w:lvl w:ilvl="6" w:tplc="465470EA">
      <w:start w:val="1"/>
      <w:numFmt w:val="decimal"/>
      <w:lvlText w:val="%7."/>
      <w:lvlJc w:val="left"/>
      <w:pPr>
        <w:ind w:left="5040" w:hanging="360"/>
      </w:pPr>
    </w:lvl>
    <w:lvl w:ilvl="7" w:tplc="49E8C8DC">
      <w:start w:val="1"/>
      <w:numFmt w:val="lowerLetter"/>
      <w:lvlText w:val="%8."/>
      <w:lvlJc w:val="left"/>
      <w:pPr>
        <w:ind w:left="5760" w:hanging="360"/>
      </w:pPr>
    </w:lvl>
    <w:lvl w:ilvl="8" w:tplc="181EA7B0">
      <w:start w:val="1"/>
      <w:numFmt w:val="lowerRoman"/>
      <w:lvlText w:val="%9."/>
      <w:lvlJc w:val="right"/>
      <w:pPr>
        <w:ind w:left="6480" w:hanging="180"/>
      </w:pPr>
    </w:lvl>
  </w:abstractNum>
  <w:abstractNum w:abstractNumId="8" w15:restartNumberingAfterBreak="0">
    <w:nsid w:val="427825AD"/>
    <w:multiLevelType w:val="hybridMultilevel"/>
    <w:tmpl w:val="53A0762A"/>
    <w:lvl w:ilvl="0" w:tplc="FFFFFFFF">
      <w:start w:val="3"/>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984D74"/>
    <w:multiLevelType w:val="hybridMultilevel"/>
    <w:tmpl w:val="8EF24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D081D4"/>
    <w:multiLevelType w:val="hybridMultilevel"/>
    <w:tmpl w:val="C2DE6660"/>
    <w:lvl w:ilvl="0" w:tplc="FD682B3A">
      <w:start w:val="1"/>
      <w:numFmt w:val="decimal"/>
      <w:lvlText w:val="%1."/>
      <w:lvlJc w:val="left"/>
      <w:pPr>
        <w:ind w:left="720" w:hanging="360"/>
      </w:pPr>
    </w:lvl>
    <w:lvl w:ilvl="1" w:tplc="B73892B2">
      <w:start w:val="1"/>
      <w:numFmt w:val="lowerLetter"/>
      <w:lvlText w:val="%2."/>
      <w:lvlJc w:val="left"/>
      <w:pPr>
        <w:ind w:left="1440" w:hanging="360"/>
      </w:pPr>
    </w:lvl>
    <w:lvl w:ilvl="2" w:tplc="393AB7DA">
      <w:start w:val="1"/>
      <w:numFmt w:val="lowerRoman"/>
      <w:lvlText w:val="%3."/>
      <w:lvlJc w:val="right"/>
      <w:pPr>
        <w:ind w:left="2160" w:hanging="180"/>
      </w:pPr>
    </w:lvl>
    <w:lvl w:ilvl="3" w:tplc="C9880278">
      <w:start w:val="1"/>
      <w:numFmt w:val="decimal"/>
      <w:lvlText w:val="%4."/>
      <w:lvlJc w:val="left"/>
      <w:pPr>
        <w:ind w:left="2880" w:hanging="360"/>
      </w:pPr>
    </w:lvl>
    <w:lvl w:ilvl="4" w:tplc="34C61CA4">
      <w:start w:val="1"/>
      <w:numFmt w:val="lowerLetter"/>
      <w:lvlText w:val="%5."/>
      <w:lvlJc w:val="left"/>
      <w:pPr>
        <w:ind w:left="3600" w:hanging="360"/>
      </w:pPr>
    </w:lvl>
    <w:lvl w:ilvl="5" w:tplc="3EE40D6C">
      <w:start w:val="1"/>
      <w:numFmt w:val="lowerRoman"/>
      <w:lvlText w:val="%6."/>
      <w:lvlJc w:val="right"/>
      <w:pPr>
        <w:ind w:left="4320" w:hanging="180"/>
      </w:pPr>
    </w:lvl>
    <w:lvl w:ilvl="6" w:tplc="586EF7E2">
      <w:start w:val="1"/>
      <w:numFmt w:val="decimal"/>
      <w:lvlText w:val="%7."/>
      <w:lvlJc w:val="left"/>
      <w:pPr>
        <w:ind w:left="5040" w:hanging="360"/>
      </w:pPr>
    </w:lvl>
    <w:lvl w:ilvl="7" w:tplc="62C45CAE">
      <w:start w:val="1"/>
      <w:numFmt w:val="lowerLetter"/>
      <w:lvlText w:val="%8."/>
      <w:lvlJc w:val="left"/>
      <w:pPr>
        <w:ind w:left="5760" w:hanging="360"/>
      </w:pPr>
    </w:lvl>
    <w:lvl w:ilvl="8" w:tplc="F31ABA28">
      <w:start w:val="1"/>
      <w:numFmt w:val="lowerRoman"/>
      <w:lvlText w:val="%9."/>
      <w:lvlJc w:val="right"/>
      <w:pPr>
        <w:ind w:left="6480" w:hanging="180"/>
      </w:pPr>
    </w:lvl>
  </w:abstractNum>
  <w:abstractNum w:abstractNumId="11" w15:restartNumberingAfterBreak="0">
    <w:nsid w:val="4A270B9C"/>
    <w:multiLevelType w:val="multilevel"/>
    <w:tmpl w:val="0ADE4444"/>
    <w:lvl w:ilvl="0">
      <w:start w:val="2"/>
      <w:numFmt w:val="lowerLetter"/>
      <w:pStyle w:val="RCListb"/>
      <w:lvlText w:val="(%1)"/>
      <w:lvlJc w:val="left"/>
      <w:pPr>
        <w:ind w:left="1080" w:hanging="360"/>
      </w:pPr>
      <w:rPr>
        <w:rFonts w:hint="default"/>
        <w:b w:val="0"/>
        <w:i w:val="0"/>
        <w:sz w:val="24"/>
        <w:u w:val="none"/>
        <w14:numSpacing w14:val="default"/>
      </w:rPr>
    </w:lvl>
    <w:lvl w:ilvl="1">
      <w:start w:val="5"/>
      <w:numFmt w:val="decimal"/>
      <w:pStyle w:val="RCList25"/>
      <w:lvlText w:val="%2."/>
      <w:lvlJc w:val="left"/>
      <w:pPr>
        <w:ind w:left="1440" w:hanging="360"/>
      </w:pPr>
      <w:rPr>
        <w:rFonts w:hint="default"/>
        <w:u w:val="none"/>
      </w:rPr>
    </w:lvl>
    <w:lvl w:ilvl="2">
      <w:start w:val="1"/>
      <w:numFmt w:val="upperLetter"/>
      <w:lvlText w:val="%3."/>
      <w:lvlJc w:val="right"/>
      <w:pPr>
        <w:ind w:left="1800" w:hanging="360"/>
      </w:pPr>
      <w:rPr>
        <w:rFonts w:hint="default"/>
        <w:b w:val="0"/>
        <w:bCs w:val="0"/>
        <w:i w:val="0"/>
        <w:iCs w:val="0"/>
        <w: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2160" w:hanging="360"/>
      </w:pPr>
      <w:rPr>
        <w:rFonts w:hint="default"/>
        <w:b w:val="0"/>
        <w:bCs w:val="0"/>
        <w:i w:val="0"/>
        <w:iCs w:val="0"/>
        <w:caps w:val="0"/>
        <w:strike w:val="0"/>
        <w:dstrike w:val="0"/>
        <w:outline w:val="0"/>
        <w:shadow w:val="0"/>
        <w:emboss w:val="0"/>
        <w:imprint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4320" w:hanging="360"/>
      </w:pPr>
      <w:rPr>
        <w:rFonts w:asciiTheme="minorHAnsi" w:hAnsiTheme="minorHAnsi" w:hint="default"/>
        <w:sz w:val="24"/>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12" w15:restartNumberingAfterBreak="0">
    <w:nsid w:val="50A33B18"/>
    <w:multiLevelType w:val="hybridMultilevel"/>
    <w:tmpl w:val="E236B9E8"/>
    <w:lvl w:ilvl="0" w:tplc="9C78427A">
      <w:start w:val="1"/>
      <w:numFmt w:val="lowerLetter"/>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2768A2A"/>
    <w:multiLevelType w:val="hybridMultilevel"/>
    <w:tmpl w:val="0388BA6E"/>
    <w:lvl w:ilvl="0" w:tplc="878CA396">
      <w:start w:val="2"/>
      <w:numFmt w:val="decimal"/>
      <w:lvlText w:val="%1."/>
      <w:lvlJc w:val="left"/>
      <w:pPr>
        <w:ind w:left="720" w:hanging="360"/>
      </w:pPr>
    </w:lvl>
    <w:lvl w:ilvl="1" w:tplc="58AC3EC8">
      <w:start w:val="1"/>
      <w:numFmt w:val="lowerLetter"/>
      <w:lvlText w:val="%2."/>
      <w:lvlJc w:val="left"/>
      <w:pPr>
        <w:ind w:left="1440" w:hanging="360"/>
      </w:pPr>
    </w:lvl>
    <w:lvl w:ilvl="2" w:tplc="0270D2B4">
      <w:start w:val="1"/>
      <w:numFmt w:val="lowerRoman"/>
      <w:lvlText w:val="%3."/>
      <w:lvlJc w:val="right"/>
      <w:pPr>
        <w:ind w:left="2160" w:hanging="180"/>
      </w:pPr>
    </w:lvl>
    <w:lvl w:ilvl="3" w:tplc="DFC88CB0">
      <w:start w:val="1"/>
      <w:numFmt w:val="decimal"/>
      <w:lvlText w:val="%4."/>
      <w:lvlJc w:val="left"/>
      <w:pPr>
        <w:ind w:left="2880" w:hanging="360"/>
      </w:pPr>
    </w:lvl>
    <w:lvl w:ilvl="4" w:tplc="ADE82290">
      <w:start w:val="1"/>
      <w:numFmt w:val="lowerLetter"/>
      <w:lvlText w:val="%5."/>
      <w:lvlJc w:val="left"/>
      <w:pPr>
        <w:ind w:left="3600" w:hanging="360"/>
      </w:pPr>
    </w:lvl>
    <w:lvl w:ilvl="5" w:tplc="7364460A">
      <w:start w:val="1"/>
      <w:numFmt w:val="lowerRoman"/>
      <w:lvlText w:val="%6."/>
      <w:lvlJc w:val="right"/>
      <w:pPr>
        <w:ind w:left="4320" w:hanging="180"/>
      </w:pPr>
    </w:lvl>
    <w:lvl w:ilvl="6" w:tplc="7480B3A0">
      <w:start w:val="1"/>
      <w:numFmt w:val="decimal"/>
      <w:lvlText w:val="%7."/>
      <w:lvlJc w:val="left"/>
      <w:pPr>
        <w:ind w:left="5040" w:hanging="360"/>
      </w:pPr>
    </w:lvl>
    <w:lvl w:ilvl="7" w:tplc="9B5EE282">
      <w:start w:val="1"/>
      <w:numFmt w:val="lowerLetter"/>
      <w:lvlText w:val="%8."/>
      <w:lvlJc w:val="left"/>
      <w:pPr>
        <w:ind w:left="5760" w:hanging="360"/>
      </w:pPr>
    </w:lvl>
    <w:lvl w:ilvl="8" w:tplc="145A205E">
      <w:start w:val="1"/>
      <w:numFmt w:val="lowerRoman"/>
      <w:lvlText w:val="%9."/>
      <w:lvlJc w:val="right"/>
      <w:pPr>
        <w:ind w:left="6480" w:hanging="180"/>
      </w:pPr>
    </w:lvl>
  </w:abstractNum>
  <w:abstractNum w:abstractNumId="14" w15:restartNumberingAfterBreak="0">
    <w:nsid w:val="5569595A"/>
    <w:multiLevelType w:val="hybridMultilevel"/>
    <w:tmpl w:val="DC3A1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C62974"/>
    <w:multiLevelType w:val="hybridMultilevel"/>
    <w:tmpl w:val="0F56B5B8"/>
    <w:lvl w:ilvl="0" w:tplc="D76A754A">
      <w:start w:val="1"/>
      <w:numFmt w:val="lowerLetter"/>
      <w:lvlText w:val="(%1)"/>
      <w:lvlJc w:val="left"/>
      <w:pPr>
        <w:ind w:left="1021" w:hanging="360"/>
        <w:jc w:val="right"/>
      </w:pPr>
      <w:rPr>
        <w:rFonts w:ascii="Arial" w:eastAsia="Times New Roman" w:hAnsi="Arial" w:cs="Arial" w:hint="default"/>
        <w:w w:val="99"/>
        <w:sz w:val="22"/>
        <w:szCs w:val="22"/>
        <w:lang w:val="en-US" w:eastAsia="en-US" w:bidi="en-US"/>
      </w:rPr>
    </w:lvl>
    <w:lvl w:ilvl="1" w:tplc="FFFFFFFF">
      <w:start w:val="1"/>
      <w:numFmt w:val="decimal"/>
      <w:lvlText w:val="%2."/>
      <w:lvlJc w:val="left"/>
      <w:pPr>
        <w:ind w:left="2070" w:hanging="360"/>
        <w:jc w:val="right"/>
      </w:pPr>
      <w:rPr>
        <w:spacing w:val="0"/>
        <w:w w:val="99"/>
        <w:sz w:val="24"/>
        <w:szCs w:val="24"/>
        <w:lang w:val="en-US" w:eastAsia="en-US" w:bidi="en-US"/>
      </w:rPr>
    </w:lvl>
    <w:lvl w:ilvl="2" w:tplc="1A243F2A">
      <w:start w:val="1"/>
      <w:numFmt w:val="upperLetter"/>
      <w:lvlText w:val="%3."/>
      <w:lvlJc w:val="left"/>
      <w:pPr>
        <w:ind w:left="1295" w:hanging="360"/>
      </w:pPr>
      <w:rPr>
        <w:rFonts w:ascii="Arial" w:eastAsia="Times New Roman" w:hAnsi="Arial" w:cs="Arial" w:hint="default"/>
        <w:spacing w:val="-3"/>
        <w:w w:val="99"/>
        <w:sz w:val="24"/>
        <w:szCs w:val="24"/>
        <w:lang w:val="en-US" w:eastAsia="en-US" w:bidi="en-US"/>
      </w:rPr>
    </w:lvl>
    <w:lvl w:ilvl="3" w:tplc="DAB863EA">
      <w:start w:val="1"/>
      <w:numFmt w:val="lowerRoman"/>
      <w:lvlText w:val="%4."/>
      <w:lvlJc w:val="left"/>
      <w:pPr>
        <w:ind w:left="1655" w:hanging="360"/>
      </w:pPr>
      <w:rPr>
        <w:rFonts w:ascii="Arial" w:eastAsia="Times New Roman" w:hAnsi="Arial" w:cs="Arial" w:hint="default"/>
        <w:spacing w:val="-1"/>
        <w:w w:val="99"/>
        <w:sz w:val="24"/>
        <w:szCs w:val="24"/>
        <w:lang w:val="en-US" w:eastAsia="en-US" w:bidi="en-US"/>
      </w:rPr>
    </w:lvl>
    <w:lvl w:ilvl="4" w:tplc="2E7E11D2">
      <w:start w:val="1"/>
      <w:numFmt w:val="lowerLetter"/>
      <w:lvlText w:val="%5."/>
      <w:lvlJc w:val="left"/>
      <w:pPr>
        <w:ind w:left="2460" w:hanging="360"/>
      </w:pPr>
      <w:rPr>
        <w:rFonts w:ascii="Times New Roman" w:eastAsia="Times New Roman" w:hAnsi="Times New Roman" w:cs="Times New Roman" w:hint="default"/>
        <w:w w:val="99"/>
        <w:sz w:val="20"/>
        <w:szCs w:val="20"/>
        <w:lang w:val="en-US" w:eastAsia="en-US" w:bidi="en-US"/>
      </w:rPr>
    </w:lvl>
    <w:lvl w:ilvl="5" w:tplc="1C0C7594">
      <w:start w:val="1"/>
      <w:numFmt w:val="upperRoman"/>
      <w:lvlText w:val="%6."/>
      <w:lvlJc w:val="left"/>
      <w:pPr>
        <w:ind w:left="2820" w:hanging="360"/>
      </w:pPr>
      <w:rPr>
        <w:rFonts w:ascii="Times New Roman" w:eastAsia="Times New Roman" w:hAnsi="Times New Roman" w:cs="Times New Roman" w:hint="default"/>
        <w:w w:val="99"/>
        <w:sz w:val="20"/>
        <w:szCs w:val="20"/>
        <w:lang w:val="en-US" w:eastAsia="en-US" w:bidi="en-US"/>
      </w:rPr>
    </w:lvl>
    <w:lvl w:ilvl="6" w:tplc="357AEAB2">
      <w:numFmt w:val="bullet"/>
      <w:lvlText w:val="•"/>
      <w:lvlJc w:val="left"/>
      <w:pPr>
        <w:ind w:left="2100" w:hanging="360"/>
      </w:pPr>
      <w:rPr>
        <w:rFonts w:hint="default"/>
        <w:lang w:val="en-US" w:eastAsia="en-US" w:bidi="en-US"/>
      </w:rPr>
    </w:lvl>
    <w:lvl w:ilvl="7" w:tplc="2D3CD55A">
      <w:numFmt w:val="bullet"/>
      <w:lvlText w:val="•"/>
      <w:lvlJc w:val="left"/>
      <w:pPr>
        <w:ind w:left="2460" w:hanging="360"/>
      </w:pPr>
      <w:rPr>
        <w:rFonts w:hint="default"/>
        <w:lang w:val="en-US" w:eastAsia="en-US" w:bidi="en-US"/>
      </w:rPr>
    </w:lvl>
    <w:lvl w:ilvl="8" w:tplc="88D01E0C">
      <w:numFmt w:val="bullet"/>
      <w:lvlText w:val="•"/>
      <w:lvlJc w:val="left"/>
      <w:pPr>
        <w:ind w:left="2820" w:hanging="360"/>
      </w:pPr>
      <w:rPr>
        <w:rFonts w:hint="default"/>
        <w:lang w:val="en-US" w:eastAsia="en-US" w:bidi="en-US"/>
      </w:rPr>
    </w:lvl>
  </w:abstractNum>
  <w:abstractNum w:abstractNumId="16" w15:restartNumberingAfterBreak="0">
    <w:nsid w:val="58C4154B"/>
    <w:multiLevelType w:val="hybridMultilevel"/>
    <w:tmpl w:val="3FF27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021549"/>
    <w:multiLevelType w:val="hybridMultilevel"/>
    <w:tmpl w:val="2636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063E9"/>
    <w:multiLevelType w:val="hybridMultilevel"/>
    <w:tmpl w:val="D3724D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7D25E4"/>
    <w:multiLevelType w:val="hybridMultilevel"/>
    <w:tmpl w:val="86DAEF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0108B"/>
    <w:multiLevelType w:val="multilevel"/>
    <w:tmpl w:val="D21C1F70"/>
    <w:lvl w:ilvl="0">
      <w:start w:val="5"/>
      <w:numFmt w:val="lowerLetter"/>
      <w:lvlText w:val="(%1)"/>
      <w:lvlJc w:val="left"/>
      <w:pPr>
        <w:ind w:left="923" w:hanging="262"/>
      </w:pPr>
      <w:rPr>
        <w:rFonts w:ascii="Calibri" w:eastAsia="Calibri" w:hAnsi="Calibri" w:cs="Calibri" w:hint="default"/>
        <w:b w:val="0"/>
        <w:bCs w:val="0"/>
        <w:i w:val="0"/>
        <w:iCs w:val="0"/>
        <w:spacing w:val="-1"/>
        <w:w w:val="99"/>
        <w:sz w:val="20"/>
        <w:szCs w:val="20"/>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Letter"/>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upp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6EE0A6D"/>
    <w:multiLevelType w:val="hybridMultilevel"/>
    <w:tmpl w:val="39E20A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6D81D6A"/>
    <w:multiLevelType w:val="multilevel"/>
    <w:tmpl w:val="01CC6B9C"/>
    <w:lvl w:ilvl="0">
      <w:start w:val="2"/>
      <w:numFmt w:val="lowerLetter"/>
      <w:pStyle w:val="RCList"/>
      <w:lvlText w:val="(%1)"/>
      <w:lvlJc w:val="left"/>
      <w:pPr>
        <w:ind w:left="1080" w:hanging="360"/>
      </w:pPr>
      <w:rPr>
        <w:rFonts w:ascii="Calibri" w:hAnsi="Calibri" w:hint="default"/>
        <w:b w:val="0"/>
        <w:i w:val="0"/>
        <w:sz w:val="24"/>
        <w:u w:val="none"/>
      </w:rPr>
    </w:lvl>
    <w:lvl w:ilvl="1">
      <w:start w:val="1"/>
      <w:numFmt w:val="decimal"/>
      <w:lvlText w:val="%2."/>
      <w:lvlJc w:val="left"/>
      <w:pPr>
        <w:ind w:left="1440" w:hanging="360"/>
      </w:pPr>
      <w:rPr>
        <w:rFonts w:hint="default"/>
        <w:u w:val="none"/>
      </w:rPr>
    </w:lvl>
    <w:lvl w:ilvl="2">
      <w:start w:val="1"/>
      <w:numFmt w:val="upperLetter"/>
      <w:lvlText w:val="%3."/>
      <w:lvlJc w:val="right"/>
      <w:rPr>
        <w:rFonts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0" w:hanging="360"/>
      </w:pPr>
      <w:rPr>
        <w:rFonts w:ascii="Calibri" w:hAnsi="Calibri" w:hint="default"/>
        <w:sz w:val="24"/>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3" w15:restartNumberingAfterBreak="0">
    <w:nsid w:val="7A80E00C"/>
    <w:multiLevelType w:val="hybridMultilevel"/>
    <w:tmpl w:val="5B180A40"/>
    <w:lvl w:ilvl="0" w:tplc="B914D176">
      <w:start w:val="1"/>
      <w:numFmt w:val="decimal"/>
      <w:lvlText w:val="%1."/>
      <w:lvlJc w:val="left"/>
      <w:pPr>
        <w:ind w:left="720" w:hanging="360"/>
      </w:pPr>
    </w:lvl>
    <w:lvl w:ilvl="1" w:tplc="37AE8E62">
      <w:start w:val="1"/>
      <w:numFmt w:val="lowerLetter"/>
      <w:lvlText w:val="%2."/>
      <w:lvlJc w:val="left"/>
      <w:pPr>
        <w:ind w:left="1440" w:hanging="360"/>
      </w:pPr>
    </w:lvl>
    <w:lvl w:ilvl="2" w:tplc="D8CC8B8C">
      <w:start w:val="1"/>
      <w:numFmt w:val="lowerRoman"/>
      <w:lvlText w:val="%3."/>
      <w:lvlJc w:val="right"/>
      <w:pPr>
        <w:ind w:left="2160" w:hanging="180"/>
      </w:pPr>
    </w:lvl>
    <w:lvl w:ilvl="3" w:tplc="E6444102">
      <w:start w:val="1"/>
      <w:numFmt w:val="decimal"/>
      <w:lvlText w:val="%4."/>
      <w:lvlJc w:val="left"/>
      <w:pPr>
        <w:ind w:left="2880" w:hanging="360"/>
      </w:pPr>
    </w:lvl>
    <w:lvl w:ilvl="4" w:tplc="6CF09ACE">
      <w:start w:val="1"/>
      <w:numFmt w:val="lowerLetter"/>
      <w:lvlText w:val="%5."/>
      <w:lvlJc w:val="left"/>
      <w:pPr>
        <w:ind w:left="3600" w:hanging="360"/>
      </w:pPr>
    </w:lvl>
    <w:lvl w:ilvl="5" w:tplc="4DE855CE">
      <w:start w:val="1"/>
      <w:numFmt w:val="lowerRoman"/>
      <w:lvlText w:val="%6."/>
      <w:lvlJc w:val="right"/>
      <w:pPr>
        <w:ind w:left="4320" w:hanging="180"/>
      </w:pPr>
    </w:lvl>
    <w:lvl w:ilvl="6" w:tplc="528E863C">
      <w:start w:val="1"/>
      <w:numFmt w:val="decimal"/>
      <w:lvlText w:val="%7."/>
      <w:lvlJc w:val="left"/>
      <w:pPr>
        <w:ind w:left="5040" w:hanging="360"/>
      </w:pPr>
    </w:lvl>
    <w:lvl w:ilvl="7" w:tplc="3104CD9C">
      <w:start w:val="1"/>
      <w:numFmt w:val="lowerLetter"/>
      <w:lvlText w:val="%8."/>
      <w:lvlJc w:val="left"/>
      <w:pPr>
        <w:ind w:left="5760" w:hanging="360"/>
      </w:pPr>
    </w:lvl>
    <w:lvl w:ilvl="8" w:tplc="8AE04512">
      <w:start w:val="1"/>
      <w:numFmt w:val="lowerRoman"/>
      <w:lvlText w:val="%9."/>
      <w:lvlJc w:val="right"/>
      <w:pPr>
        <w:ind w:left="6480" w:hanging="180"/>
      </w:pPr>
    </w:lvl>
  </w:abstractNum>
  <w:num w:numId="1" w16cid:durableId="1561474410">
    <w:abstractNumId w:val="23"/>
  </w:num>
  <w:num w:numId="2" w16cid:durableId="95517430">
    <w:abstractNumId w:val="10"/>
  </w:num>
  <w:num w:numId="3" w16cid:durableId="2112891540">
    <w:abstractNumId w:val="13"/>
  </w:num>
  <w:num w:numId="4" w16cid:durableId="451439107">
    <w:abstractNumId w:val="7"/>
  </w:num>
  <w:num w:numId="5" w16cid:durableId="1703744777">
    <w:abstractNumId w:val="6"/>
  </w:num>
  <w:num w:numId="6" w16cid:durableId="469859914">
    <w:abstractNumId w:val="18"/>
  </w:num>
  <w:num w:numId="7" w16cid:durableId="1954438851">
    <w:abstractNumId w:val="0"/>
  </w:num>
  <w:num w:numId="8" w16cid:durableId="2070882176">
    <w:abstractNumId w:val="11"/>
  </w:num>
  <w:num w:numId="9" w16cid:durableId="181358853">
    <w:abstractNumId w:val="22"/>
  </w:num>
  <w:num w:numId="10" w16cid:durableId="244724164">
    <w:abstractNumId w:val="2"/>
  </w:num>
  <w:num w:numId="11" w16cid:durableId="1482890262">
    <w:abstractNumId w:val="20"/>
  </w:num>
  <w:num w:numId="12" w16cid:durableId="3840647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35561">
    <w:abstractNumId w:val="21"/>
  </w:num>
  <w:num w:numId="14" w16cid:durableId="1438867346">
    <w:abstractNumId w:val="5"/>
  </w:num>
  <w:num w:numId="15" w16cid:durableId="623272868">
    <w:abstractNumId w:val="4"/>
  </w:num>
  <w:num w:numId="16" w16cid:durableId="1786923102">
    <w:abstractNumId w:val="15"/>
  </w:num>
  <w:num w:numId="17" w16cid:durableId="1036194039">
    <w:abstractNumId w:val="1"/>
  </w:num>
  <w:num w:numId="18" w16cid:durableId="1326787578">
    <w:abstractNumId w:val="3"/>
  </w:num>
  <w:num w:numId="19" w16cid:durableId="1569344358">
    <w:abstractNumId w:val="8"/>
  </w:num>
  <w:num w:numId="20" w16cid:durableId="589193761">
    <w:abstractNumId w:val="19"/>
  </w:num>
  <w:num w:numId="21" w16cid:durableId="205676483">
    <w:abstractNumId w:val="17"/>
  </w:num>
  <w:num w:numId="22" w16cid:durableId="484902671">
    <w:abstractNumId w:val="14"/>
  </w:num>
  <w:num w:numId="23" w16cid:durableId="81991963">
    <w:abstractNumId w:val="9"/>
  </w:num>
  <w:num w:numId="24" w16cid:durableId="1035420965">
    <w:abstractNumId w:val="1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ylor, Taylor">
    <w15:presenceInfo w15:providerId="AD" w15:userId="S::TTaylor@trcsolutions.com::8f0d4658-8911-45fe-8cba-61f8f650b9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F3"/>
    <w:rsid w:val="000057A6"/>
    <w:rsid w:val="00005D44"/>
    <w:rsid w:val="00006031"/>
    <w:rsid w:val="00010D96"/>
    <w:rsid w:val="0001169D"/>
    <w:rsid w:val="00013472"/>
    <w:rsid w:val="000134D9"/>
    <w:rsid w:val="000144BA"/>
    <w:rsid w:val="00021785"/>
    <w:rsid w:val="00022B0F"/>
    <w:rsid w:val="00022D24"/>
    <w:rsid w:val="00024890"/>
    <w:rsid w:val="000261A3"/>
    <w:rsid w:val="00027921"/>
    <w:rsid w:val="0003330C"/>
    <w:rsid w:val="00044E04"/>
    <w:rsid w:val="00051246"/>
    <w:rsid w:val="0005337B"/>
    <w:rsid w:val="00057879"/>
    <w:rsid w:val="00060190"/>
    <w:rsid w:val="00061364"/>
    <w:rsid w:val="0006554B"/>
    <w:rsid w:val="000661FC"/>
    <w:rsid w:val="00066DAF"/>
    <w:rsid w:val="0006731A"/>
    <w:rsid w:val="000747C6"/>
    <w:rsid w:val="00074B9E"/>
    <w:rsid w:val="00075233"/>
    <w:rsid w:val="00075FB0"/>
    <w:rsid w:val="00077085"/>
    <w:rsid w:val="00077B7C"/>
    <w:rsid w:val="0008034C"/>
    <w:rsid w:val="00085A9F"/>
    <w:rsid w:val="00085B00"/>
    <w:rsid w:val="000919E0"/>
    <w:rsid w:val="00095275"/>
    <w:rsid w:val="00097229"/>
    <w:rsid w:val="000A2893"/>
    <w:rsid w:val="000A33DB"/>
    <w:rsid w:val="000A59C0"/>
    <w:rsid w:val="000A6900"/>
    <w:rsid w:val="000B02AF"/>
    <w:rsid w:val="000B2295"/>
    <w:rsid w:val="000B592E"/>
    <w:rsid w:val="000C0977"/>
    <w:rsid w:val="000C24D9"/>
    <w:rsid w:val="000C2C4A"/>
    <w:rsid w:val="000C5479"/>
    <w:rsid w:val="000D540E"/>
    <w:rsid w:val="000D54FB"/>
    <w:rsid w:val="000D55D3"/>
    <w:rsid w:val="000D6ECB"/>
    <w:rsid w:val="000D76B3"/>
    <w:rsid w:val="000E6652"/>
    <w:rsid w:val="000E67DC"/>
    <w:rsid w:val="000F3511"/>
    <w:rsid w:val="000F3B78"/>
    <w:rsid w:val="000F708F"/>
    <w:rsid w:val="000F7FA5"/>
    <w:rsid w:val="00101025"/>
    <w:rsid w:val="001012B0"/>
    <w:rsid w:val="00111456"/>
    <w:rsid w:val="0011470E"/>
    <w:rsid w:val="00114E1C"/>
    <w:rsid w:val="00120F71"/>
    <w:rsid w:val="00126E3B"/>
    <w:rsid w:val="0012711F"/>
    <w:rsid w:val="00132491"/>
    <w:rsid w:val="00135722"/>
    <w:rsid w:val="0013643E"/>
    <w:rsid w:val="001418BF"/>
    <w:rsid w:val="0014306A"/>
    <w:rsid w:val="001438D4"/>
    <w:rsid w:val="00145579"/>
    <w:rsid w:val="00147B1C"/>
    <w:rsid w:val="00150E13"/>
    <w:rsid w:val="00151BC7"/>
    <w:rsid w:val="001601F3"/>
    <w:rsid w:val="00166051"/>
    <w:rsid w:val="00167A92"/>
    <w:rsid w:val="00173FB2"/>
    <w:rsid w:val="0017503D"/>
    <w:rsid w:val="0017787C"/>
    <w:rsid w:val="00186249"/>
    <w:rsid w:val="001910CA"/>
    <w:rsid w:val="001A2D87"/>
    <w:rsid w:val="001A4F6E"/>
    <w:rsid w:val="001A5C5A"/>
    <w:rsid w:val="001B0951"/>
    <w:rsid w:val="001B3147"/>
    <w:rsid w:val="001B36FF"/>
    <w:rsid w:val="001C2E14"/>
    <w:rsid w:val="001C3081"/>
    <w:rsid w:val="001C5870"/>
    <w:rsid w:val="001C797E"/>
    <w:rsid w:val="001D017C"/>
    <w:rsid w:val="001D2AE4"/>
    <w:rsid w:val="001D7260"/>
    <w:rsid w:val="001D768F"/>
    <w:rsid w:val="001E0BE3"/>
    <w:rsid w:val="001E298C"/>
    <w:rsid w:val="001E67ED"/>
    <w:rsid w:val="001E7A0E"/>
    <w:rsid w:val="001F69E1"/>
    <w:rsid w:val="001F731F"/>
    <w:rsid w:val="001F7AF4"/>
    <w:rsid w:val="00201031"/>
    <w:rsid w:val="0020257B"/>
    <w:rsid w:val="00204228"/>
    <w:rsid w:val="002100BD"/>
    <w:rsid w:val="00214BF8"/>
    <w:rsid w:val="0021618A"/>
    <w:rsid w:val="002169A3"/>
    <w:rsid w:val="00216FC8"/>
    <w:rsid w:val="00217830"/>
    <w:rsid w:val="002235D0"/>
    <w:rsid w:val="00223F49"/>
    <w:rsid w:val="00231F91"/>
    <w:rsid w:val="0023220E"/>
    <w:rsid w:val="002375CD"/>
    <w:rsid w:val="00241BDC"/>
    <w:rsid w:val="00244A12"/>
    <w:rsid w:val="00244CFB"/>
    <w:rsid w:val="0025286C"/>
    <w:rsid w:val="0025413C"/>
    <w:rsid w:val="00255698"/>
    <w:rsid w:val="002560A5"/>
    <w:rsid w:val="0026621D"/>
    <w:rsid w:val="00266A7C"/>
    <w:rsid w:val="002705DB"/>
    <w:rsid w:val="00276E27"/>
    <w:rsid w:val="002837C0"/>
    <w:rsid w:val="00286018"/>
    <w:rsid w:val="00287318"/>
    <w:rsid w:val="00290047"/>
    <w:rsid w:val="002A024B"/>
    <w:rsid w:val="002A0DA3"/>
    <w:rsid w:val="002A0E0F"/>
    <w:rsid w:val="002A254E"/>
    <w:rsid w:val="002A5442"/>
    <w:rsid w:val="002A7222"/>
    <w:rsid w:val="002A7F2F"/>
    <w:rsid w:val="002B27BF"/>
    <w:rsid w:val="002B5ED7"/>
    <w:rsid w:val="002B70E1"/>
    <w:rsid w:val="002C048B"/>
    <w:rsid w:val="002C0D10"/>
    <w:rsid w:val="002C170A"/>
    <w:rsid w:val="002C3482"/>
    <w:rsid w:val="002C3854"/>
    <w:rsid w:val="002C38A4"/>
    <w:rsid w:val="002C5C18"/>
    <w:rsid w:val="002D01D3"/>
    <w:rsid w:val="002D2F34"/>
    <w:rsid w:val="002D3167"/>
    <w:rsid w:val="002D5ED1"/>
    <w:rsid w:val="002E1D84"/>
    <w:rsid w:val="002E4938"/>
    <w:rsid w:val="002E592C"/>
    <w:rsid w:val="002F0515"/>
    <w:rsid w:val="002F28A3"/>
    <w:rsid w:val="002F326E"/>
    <w:rsid w:val="002F4A97"/>
    <w:rsid w:val="00300D35"/>
    <w:rsid w:val="00300F52"/>
    <w:rsid w:val="0030285A"/>
    <w:rsid w:val="0030299F"/>
    <w:rsid w:val="00313FEB"/>
    <w:rsid w:val="00315FE2"/>
    <w:rsid w:val="00316B5E"/>
    <w:rsid w:val="003201DD"/>
    <w:rsid w:val="00320AB5"/>
    <w:rsid w:val="00321AFD"/>
    <w:rsid w:val="00321C1C"/>
    <w:rsid w:val="00330395"/>
    <w:rsid w:val="00332B81"/>
    <w:rsid w:val="00333AA1"/>
    <w:rsid w:val="00335F36"/>
    <w:rsid w:val="00336F01"/>
    <w:rsid w:val="00340524"/>
    <w:rsid w:val="00341698"/>
    <w:rsid w:val="00346B8E"/>
    <w:rsid w:val="00347A90"/>
    <w:rsid w:val="00352D38"/>
    <w:rsid w:val="00353386"/>
    <w:rsid w:val="00353BC9"/>
    <w:rsid w:val="00357FB8"/>
    <w:rsid w:val="00363010"/>
    <w:rsid w:val="00365120"/>
    <w:rsid w:val="0036753E"/>
    <w:rsid w:val="00380997"/>
    <w:rsid w:val="00383809"/>
    <w:rsid w:val="00386F17"/>
    <w:rsid w:val="003870BA"/>
    <w:rsid w:val="003925FA"/>
    <w:rsid w:val="003959E3"/>
    <w:rsid w:val="003972B7"/>
    <w:rsid w:val="003A0CC7"/>
    <w:rsid w:val="003A350F"/>
    <w:rsid w:val="003A62EB"/>
    <w:rsid w:val="003A7BDA"/>
    <w:rsid w:val="003B0470"/>
    <w:rsid w:val="003B55CF"/>
    <w:rsid w:val="003B719D"/>
    <w:rsid w:val="003B71E6"/>
    <w:rsid w:val="003C1B96"/>
    <w:rsid w:val="003C1D77"/>
    <w:rsid w:val="003C4A4E"/>
    <w:rsid w:val="003D120D"/>
    <w:rsid w:val="003D18B8"/>
    <w:rsid w:val="003D5B14"/>
    <w:rsid w:val="003D7914"/>
    <w:rsid w:val="003E1B0B"/>
    <w:rsid w:val="003E5EE3"/>
    <w:rsid w:val="003F408A"/>
    <w:rsid w:val="003F4274"/>
    <w:rsid w:val="003F6429"/>
    <w:rsid w:val="00400A46"/>
    <w:rsid w:val="00400A8A"/>
    <w:rsid w:val="00402C3F"/>
    <w:rsid w:val="00405FA9"/>
    <w:rsid w:val="00415247"/>
    <w:rsid w:val="00416AEE"/>
    <w:rsid w:val="00420AA7"/>
    <w:rsid w:val="00421121"/>
    <w:rsid w:val="00421FB2"/>
    <w:rsid w:val="00423E5B"/>
    <w:rsid w:val="00426839"/>
    <w:rsid w:val="00430EFE"/>
    <w:rsid w:val="00432A22"/>
    <w:rsid w:val="00434388"/>
    <w:rsid w:val="00436AD6"/>
    <w:rsid w:val="004370AD"/>
    <w:rsid w:val="004379D3"/>
    <w:rsid w:val="004409E4"/>
    <w:rsid w:val="004411A1"/>
    <w:rsid w:val="00450D93"/>
    <w:rsid w:val="004604FB"/>
    <w:rsid w:val="0046370F"/>
    <w:rsid w:val="00464AED"/>
    <w:rsid w:val="0046511C"/>
    <w:rsid w:val="00470189"/>
    <w:rsid w:val="00470351"/>
    <w:rsid w:val="00474D1B"/>
    <w:rsid w:val="004767F5"/>
    <w:rsid w:val="0047698A"/>
    <w:rsid w:val="00482149"/>
    <w:rsid w:val="004824D6"/>
    <w:rsid w:val="00483C26"/>
    <w:rsid w:val="0049345A"/>
    <w:rsid w:val="00493AA9"/>
    <w:rsid w:val="00495C21"/>
    <w:rsid w:val="004963ED"/>
    <w:rsid w:val="004968BE"/>
    <w:rsid w:val="004B0903"/>
    <w:rsid w:val="004B2C33"/>
    <w:rsid w:val="004B3D00"/>
    <w:rsid w:val="004B3D75"/>
    <w:rsid w:val="004B4281"/>
    <w:rsid w:val="004B5E39"/>
    <w:rsid w:val="004B5F49"/>
    <w:rsid w:val="004C1EC0"/>
    <w:rsid w:val="004C22D6"/>
    <w:rsid w:val="004C5058"/>
    <w:rsid w:val="004D3887"/>
    <w:rsid w:val="004E319B"/>
    <w:rsid w:val="004F1842"/>
    <w:rsid w:val="004F729B"/>
    <w:rsid w:val="00501DAD"/>
    <w:rsid w:val="00504195"/>
    <w:rsid w:val="005044C5"/>
    <w:rsid w:val="005044F8"/>
    <w:rsid w:val="00505147"/>
    <w:rsid w:val="005205E2"/>
    <w:rsid w:val="00520BB7"/>
    <w:rsid w:val="00522A3B"/>
    <w:rsid w:val="00522C1F"/>
    <w:rsid w:val="00523BE4"/>
    <w:rsid w:val="005268D2"/>
    <w:rsid w:val="005271B7"/>
    <w:rsid w:val="0053094C"/>
    <w:rsid w:val="005311E9"/>
    <w:rsid w:val="005314B6"/>
    <w:rsid w:val="00531624"/>
    <w:rsid w:val="00531815"/>
    <w:rsid w:val="00533BAA"/>
    <w:rsid w:val="00533DD4"/>
    <w:rsid w:val="00536038"/>
    <w:rsid w:val="005364B2"/>
    <w:rsid w:val="00541A0B"/>
    <w:rsid w:val="00541B80"/>
    <w:rsid w:val="00542724"/>
    <w:rsid w:val="00544032"/>
    <w:rsid w:val="00544AFE"/>
    <w:rsid w:val="00546630"/>
    <w:rsid w:val="00552908"/>
    <w:rsid w:val="00556100"/>
    <w:rsid w:val="00556D3F"/>
    <w:rsid w:val="00560105"/>
    <w:rsid w:val="00560209"/>
    <w:rsid w:val="00560619"/>
    <w:rsid w:val="00564328"/>
    <w:rsid w:val="00570C4E"/>
    <w:rsid w:val="005769D2"/>
    <w:rsid w:val="005776A7"/>
    <w:rsid w:val="005859E6"/>
    <w:rsid w:val="00592D3F"/>
    <w:rsid w:val="00593802"/>
    <w:rsid w:val="00593AD4"/>
    <w:rsid w:val="0059413D"/>
    <w:rsid w:val="005A0096"/>
    <w:rsid w:val="005A1CB6"/>
    <w:rsid w:val="005A3458"/>
    <w:rsid w:val="005A4DB0"/>
    <w:rsid w:val="005A74EF"/>
    <w:rsid w:val="005B1711"/>
    <w:rsid w:val="005B17AC"/>
    <w:rsid w:val="005B44BC"/>
    <w:rsid w:val="005B659D"/>
    <w:rsid w:val="005C2D6A"/>
    <w:rsid w:val="005C33D8"/>
    <w:rsid w:val="005C3DFE"/>
    <w:rsid w:val="005C7F06"/>
    <w:rsid w:val="005D0CED"/>
    <w:rsid w:val="005E0AE7"/>
    <w:rsid w:val="005E0EEE"/>
    <w:rsid w:val="005E1C24"/>
    <w:rsid w:val="005E27AE"/>
    <w:rsid w:val="005E4363"/>
    <w:rsid w:val="005E5A32"/>
    <w:rsid w:val="005F5536"/>
    <w:rsid w:val="0060744E"/>
    <w:rsid w:val="00607D10"/>
    <w:rsid w:val="00611904"/>
    <w:rsid w:val="00611E84"/>
    <w:rsid w:val="00612E7C"/>
    <w:rsid w:val="00615B09"/>
    <w:rsid w:val="006218A5"/>
    <w:rsid w:val="00622A03"/>
    <w:rsid w:val="00623A84"/>
    <w:rsid w:val="00627BBF"/>
    <w:rsid w:val="00630DEE"/>
    <w:rsid w:val="00634B51"/>
    <w:rsid w:val="00635A11"/>
    <w:rsid w:val="0063644E"/>
    <w:rsid w:val="006375A7"/>
    <w:rsid w:val="00642A8D"/>
    <w:rsid w:val="00644079"/>
    <w:rsid w:val="00652325"/>
    <w:rsid w:val="00657EE7"/>
    <w:rsid w:val="00662E4B"/>
    <w:rsid w:val="00663FD1"/>
    <w:rsid w:val="00666FD6"/>
    <w:rsid w:val="00667C60"/>
    <w:rsid w:val="00670E80"/>
    <w:rsid w:val="006748E4"/>
    <w:rsid w:val="00674926"/>
    <w:rsid w:val="00676C84"/>
    <w:rsid w:val="006828C2"/>
    <w:rsid w:val="00684A1B"/>
    <w:rsid w:val="00686998"/>
    <w:rsid w:val="00690640"/>
    <w:rsid w:val="00692C91"/>
    <w:rsid w:val="00692E34"/>
    <w:rsid w:val="00697A96"/>
    <w:rsid w:val="006A1446"/>
    <w:rsid w:val="006A5B35"/>
    <w:rsid w:val="006A6F6C"/>
    <w:rsid w:val="006B0A04"/>
    <w:rsid w:val="006B210B"/>
    <w:rsid w:val="006B5119"/>
    <w:rsid w:val="006B70EC"/>
    <w:rsid w:val="006C2291"/>
    <w:rsid w:val="006C2F0D"/>
    <w:rsid w:val="006C5662"/>
    <w:rsid w:val="006C77CA"/>
    <w:rsid w:val="006D4116"/>
    <w:rsid w:val="006E3733"/>
    <w:rsid w:val="006E4DD6"/>
    <w:rsid w:val="006E53F9"/>
    <w:rsid w:val="006F22DB"/>
    <w:rsid w:val="006F2911"/>
    <w:rsid w:val="006F6ED4"/>
    <w:rsid w:val="006F7EF1"/>
    <w:rsid w:val="00700053"/>
    <w:rsid w:val="007015A9"/>
    <w:rsid w:val="00704210"/>
    <w:rsid w:val="00707F47"/>
    <w:rsid w:val="0071219C"/>
    <w:rsid w:val="0071359F"/>
    <w:rsid w:val="00715A0F"/>
    <w:rsid w:val="00723F84"/>
    <w:rsid w:val="007253A3"/>
    <w:rsid w:val="00725DFA"/>
    <w:rsid w:val="007326B1"/>
    <w:rsid w:val="0073366D"/>
    <w:rsid w:val="0073373A"/>
    <w:rsid w:val="00736136"/>
    <w:rsid w:val="00745777"/>
    <w:rsid w:val="00746C3E"/>
    <w:rsid w:val="00750991"/>
    <w:rsid w:val="00752D0E"/>
    <w:rsid w:val="00762932"/>
    <w:rsid w:val="00772636"/>
    <w:rsid w:val="007742BE"/>
    <w:rsid w:val="007745DB"/>
    <w:rsid w:val="007757BE"/>
    <w:rsid w:val="007770E7"/>
    <w:rsid w:val="007779F4"/>
    <w:rsid w:val="00780125"/>
    <w:rsid w:val="007858F4"/>
    <w:rsid w:val="00787BFE"/>
    <w:rsid w:val="00790C38"/>
    <w:rsid w:val="00793773"/>
    <w:rsid w:val="00797BFF"/>
    <w:rsid w:val="007A098E"/>
    <w:rsid w:val="007A5337"/>
    <w:rsid w:val="007A59FE"/>
    <w:rsid w:val="007A6374"/>
    <w:rsid w:val="007B0243"/>
    <w:rsid w:val="007B281D"/>
    <w:rsid w:val="007B3C2B"/>
    <w:rsid w:val="007B4E56"/>
    <w:rsid w:val="007B6FEA"/>
    <w:rsid w:val="007B7131"/>
    <w:rsid w:val="007C06C2"/>
    <w:rsid w:val="007C6041"/>
    <w:rsid w:val="007C7989"/>
    <w:rsid w:val="007D4AA0"/>
    <w:rsid w:val="007D6FD4"/>
    <w:rsid w:val="007E2523"/>
    <w:rsid w:val="007E6073"/>
    <w:rsid w:val="007F1841"/>
    <w:rsid w:val="007F20AD"/>
    <w:rsid w:val="0080201F"/>
    <w:rsid w:val="00802E17"/>
    <w:rsid w:val="00812654"/>
    <w:rsid w:val="00812EA2"/>
    <w:rsid w:val="00816DBF"/>
    <w:rsid w:val="00817AE8"/>
    <w:rsid w:val="00824ACD"/>
    <w:rsid w:val="00824F6C"/>
    <w:rsid w:val="008253C8"/>
    <w:rsid w:val="00826563"/>
    <w:rsid w:val="008267BE"/>
    <w:rsid w:val="008317BA"/>
    <w:rsid w:val="00833640"/>
    <w:rsid w:val="00834473"/>
    <w:rsid w:val="008353A9"/>
    <w:rsid w:val="00843626"/>
    <w:rsid w:val="00844588"/>
    <w:rsid w:val="00845D1F"/>
    <w:rsid w:val="0085136C"/>
    <w:rsid w:val="008516C1"/>
    <w:rsid w:val="00851E46"/>
    <w:rsid w:val="00852890"/>
    <w:rsid w:val="0085492B"/>
    <w:rsid w:val="00856F26"/>
    <w:rsid w:val="00861416"/>
    <w:rsid w:val="00861D74"/>
    <w:rsid w:val="00865F7E"/>
    <w:rsid w:val="00871482"/>
    <w:rsid w:val="0087344D"/>
    <w:rsid w:val="00882918"/>
    <w:rsid w:val="008869B0"/>
    <w:rsid w:val="00890080"/>
    <w:rsid w:val="0089384E"/>
    <w:rsid w:val="00894E14"/>
    <w:rsid w:val="00895862"/>
    <w:rsid w:val="00895B6E"/>
    <w:rsid w:val="00896AE9"/>
    <w:rsid w:val="008A4C46"/>
    <w:rsid w:val="008A5FB2"/>
    <w:rsid w:val="008B196D"/>
    <w:rsid w:val="008B474B"/>
    <w:rsid w:val="008B489F"/>
    <w:rsid w:val="008B6407"/>
    <w:rsid w:val="008C05C7"/>
    <w:rsid w:val="008C1189"/>
    <w:rsid w:val="008D10B9"/>
    <w:rsid w:val="008D624B"/>
    <w:rsid w:val="008E3087"/>
    <w:rsid w:val="008E32EC"/>
    <w:rsid w:val="008E434F"/>
    <w:rsid w:val="008E79D2"/>
    <w:rsid w:val="008F00C8"/>
    <w:rsid w:val="008F0C63"/>
    <w:rsid w:val="008F217E"/>
    <w:rsid w:val="008F67FD"/>
    <w:rsid w:val="009017C5"/>
    <w:rsid w:val="009025E2"/>
    <w:rsid w:val="00903984"/>
    <w:rsid w:val="00906116"/>
    <w:rsid w:val="00906208"/>
    <w:rsid w:val="00906DF9"/>
    <w:rsid w:val="00910C53"/>
    <w:rsid w:val="00911141"/>
    <w:rsid w:val="00911897"/>
    <w:rsid w:val="00921799"/>
    <w:rsid w:val="00921ABF"/>
    <w:rsid w:val="00923F76"/>
    <w:rsid w:val="009247C8"/>
    <w:rsid w:val="00924A9C"/>
    <w:rsid w:val="00924C71"/>
    <w:rsid w:val="00932376"/>
    <w:rsid w:val="0093281F"/>
    <w:rsid w:val="0093433E"/>
    <w:rsid w:val="00936135"/>
    <w:rsid w:val="00936727"/>
    <w:rsid w:val="00943855"/>
    <w:rsid w:val="00943ABB"/>
    <w:rsid w:val="00945A64"/>
    <w:rsid w:val="00954112"/>
    <w:rsid w:val="00954379"/>
    <w:rsid w:val="00956098"/>
    <w:rsid w:val="00957BA0"/>
    <w:rsid w:val="00973212"/>
    <w:rsid w:val="00973C36"/>
    <w:rsid w:val="00974215"/>
    <w:rsid w:val="0097687E"/>
    <w:rsid w:val="009770B3"/>
    <w:rsid w:val="00977D85"/>
    <w:rsid w:val="00980631"/>
    <w:rsid w:val="00980CC1"/>
    <w:rsid w:val="00981C5A"/>
    <w:rsid w:val="00982C4A"/>
    <w:rsid w:val="009922B5"/>
    <w:rsid w:val="009937AA"/>
    <w:rsid w:val="009963D4"/>
    <w:rsid w:val="009A498A"/>
    <w:rsid w:val="009A50C2"/>
    <w:rsid w:val="009A7013"/>
    <w:rsid w:val="009B2733"/>
    <w:rsid w:val="009C2317"/>
    <w:rsid w:val="009C63FD"/>
    <w:rsid w:val="009C71F9"/>
    <w:rsid w:val="009C7BB3"/>
    <w:rsid w:val="009C7F6E"/>
    <w:rsid w:val="009D04D6"/>
    <w:rsid w:val="009D13A7"/>
    <w:rsid w:val="009D6141"/>
    <w:rsid w:val="009D62DF"/>
    <w:rsid w:val="009D6400"/>
    <w:rsid w:val="009D7A29"/>
    <w:rsid w:val="009E0D6D"/>
    <w:rsid w:val="009E2A00"/>
    <w:rsid w:val="009E3862"/>
    <w:rsid w:val="009E3C38"/>
    <w:rsid w:val="009E6612"/>
    <w:rsid w:val="009F1D96"/>
    <w:rsid w:val="009F442D"/>
    <w:rsid w:val="00A00854"/>
    <w:rsid w:val="00A03686"/>
    <w:rsid w:val="00A059D4"/>
    <w:rsid w:val="00A05C44"/>
    <w:rsid w:val="00A11241"/>
    <w:rsid w:val="00A141C7"/>
    <w:rsid w:val="00A1724A"/>
    <w:rsid w:val="00A237AE"/>
    <w:rsid w:val="00A2620C"/>
    <w:rsid w:val="00A319F6"/>
    <w:rsid w:val="00A41C5A"/>
    <w:rsid w:val="00A52190"/>
    <w:rsid w:val="00A574F1"/>
    <w:rsid w:val="00A60BBF"/>
    <w:rsid w:val="00A63A99"/>
    <w:rsid w:val="00A702EB"/>
    <w:rsid w:val="00A76A64"/>
    <w:rsid w:val="00A81895"/>
    <w:rsid w:val="00A9538F"/>
    <w:rsid w:val="00AA4079"/>
    <w:rsid w:val="00AB4A4B"/>
    <w:rsid w:val="00AB6697"/>
    <w:rsid w:val="00AC2347"/>
    <w:rsid w:val="00AC3FB7"/>
    <w:rsid w:val="00AC594A"/>
    <w:rsid w:val="00AC6E16"/>
    <w:rsid w:val="00AD10E8"/>
    <w:rsid w:val="00AD2936"/>
    <w:rsid w:val="00AD40DE"/>
    <w:rsid w:val="00AD5ADC"/>
    <w:rsid w:val="00AD5D40"/>
    <w:rsid w:val="00AD68A2"/>
    <w:rsid w:val="00AD721D"/>
    <w:rsid w:val="00AE7230"/>
    <w:rsid w:val="00AF2CA4"/>
    <w:rsid w:val="00AF37CD"/>
    <w:rsid w:val="00AF5664"/>
    <w:rsid w:val="00B0030D"/>
    <w:rsid w:val="00B02A2A"/>
    <w:rsid w:val="00B02AF8"/>
    <w:rsid w:val="00B06086"/>
    <w:rsid w:val="00B07711"/>
    <w:rsid w:val="00B152DD"/>
    <w:rsid w:val="00B22661"/>
    <w:rsid w:val="00B23665"/>
    <w:rsid w:val="00B25A87"/>
    <w:rsid w:val="00B303B2"/>
    <w:rsid w:val="00B3212A"/>
    <w:rsid w:val="00B353C3"/>
    <w:rsid w:val="00B40482"/>
    <w:rsid w:val="00B41772"/>
    <w:rsid w:val="00B42802"/>
    <w:rsid w:val="00B43C08"/>
    <w:rsid w:val="00B50400"/>
    <w:rsid w:val="00B53103"/>
    <w:rsid w:val="00B557CB"/>
    <w:rsid w:val="00B56D65"/>
    <w:rsid w:val="00B60024"/>
    <w:rsid w:val="00B601A7"/>
    <w:rsid w:val="00B60A7B"/>
    <w:rsid w:val="00B60F28"/>
    <w:rsid w:val="00B67FE2"/>
    <w:rsid w:val="00B7123C"/>
    <w:rsid w:val="00B835F6"/>
    <w:rsid w:val="00B86E61"/>
    <w:rsid w:val="00B93D07"/>
    <w:rsid w:val="00B940B9"/>
    <w:rsid w:val="00B94901"/>
    <w:rsid w:val="00B95A59"/>
    <w:rsid w:val="00B9720D"/>
    <w:rsid w:val="00BA0638"/>
    <w:rsid w:val="00BA06E6"/>
    <w:rsid w:val="00BA19E5"/>
    <w:rsid w:val="00BA19FE"/>
    <w:rsid w:val="00BB18E2"/>
    <w:rsid w:val="00BB5A34"/>
    <w:rsid w:val="00BB653A"/>
    <w:rsid w:val="00BC054A"/>
    <w:rsid w:val="00BC155D"/>
    <w:rsid w:val="00BC2027"/>
    <w:rsid w:val="00BC29D9"/>
    <w:rsid w:val="00BC4353"/>
    <w:rsid w:val="00BC71CF"/>
    <w:rsid w:val="00BC74CF"/>
    <w:rsid w:val="00BD1DBD"/>
    <w:rsid w:val="00BD3A2B"/>
    <w:rsid w:val="00BD619E"/>
    <w:rsid w:val="00BD7BE2"/>
    <w:rsid w:val="00BE2AD7"/>
    <w:rsid w:val="00BF23D2"/>
    <w:rsid w:val="00BF5173"/>
    <w:rsid w:val="00BF610C"/>
    <w:rsid w:val="00BF70CB"/>
    <w:rsid w:val="00C0011A"/>
    <w:rsid w:val="00C01C33"/>
    <w:rsid w:val="00C03D63"/>
    <w:rsid w:val="00C03E2A"/>
    <w:rsid w:val="00C05AB4"/>
    <w:rsid w:val="00C128F3"/>
    <w:rsid w:val="00C14251"/>
    <w:rsid w:val="00C15677"/>
    <w:rsid w:val="00C16CF8"/>
    <w:rsid w:val="00C16F23"/>
    <w:rsid w:val="00C20E23"/>
    <w:rsid w:val="00C21096"/>
    <w:rsid w:val="00C21C9D"/>
    <w:rsid w:val="00C22497"/>
    <w:rsid w:val="00C25405"/>
    <w:rsid w:val="00C27AFD"/>
    <w:rsid w:val="00C30319"/>
    <w:rsid w:val="00C3088C"/>
    <w:rsid w:val="00C3101F"/>
    <w:rsid w:val="00C31579"/>
    <w:rsid w:val="00C32BB9"/>
    <w:rsid w:val="00C33554"/>
    <w:rsid w:val="00C414C4"/>
    <w:rsid w:val="00C417CA"/>
    <w:rsid w:val="00C47D4E"/>
    <w:rsid w:val="00C518AA"/>
    <w:rsid w:val="00C52976"/>
    <w:rsid w:val="00C52C2B"/>
    <w:rsid w:val="00C55D7B"/>
    <w:rsid w:val="00C62207"/>
    <w:rsid w:val="00C62FF0"/>
    <w:rsid w:val="00C646DA"/>
    <w:rsid w:val="00C66202"/>
    <w:rsid w:val="00C7066B"/>
    <w:rsid w:val="00C7138D"/>
    <w:rsid w:val="00C71495"/>
    <w:rsid w:val="00C71B24"/>
    <w:rsid w:val="00C74FC6"/>
    <w:rsid w:val="00C767EB"/>
    <w:rsid w:val="00C80760"/>
    <w:rsid w:val="00C832CE"/>
    <w:rsid w:val="00C854CE"/>
    <w:rsid w:val="00C92E04"/>
    <w:rsid w:val="00C93506"/>
    <w:rsid w:val="00C95C98"/>
    <w:rsid w:val="00C971FB"/>
    <w:rsid w:val="00CA47E1"/>
    <w:rsid w:val="00CA592D"/>
    <w:rsid w:val="00CB0768"/>
    <w:rsid w:val="00CB15C8"/>
    <w:rsid w:val="00CB278A"/>
    <w:rsid w:val="00CB3179"/>
    <w:rsid w:val="00CB5B59"/>
    <w:rsid w:val="00CB7478"/>
    <w:rsid w:val="00CB7575"/>
    <w:rsid w:val="00CC2842"/>
    <w:rsid w:val="00CC2A56"/>
    <w:rsid w:val="00CC36D8"/>
    <w:rsid w:val="00CC38BF"/>
    <w:rsid w:val="00CD0D0F"/>
    <w:rsid w:val="00CD692B"/>
    <w:rsid w:val="00CE2CC6"/>
    <w:rsid w:val="00CE71D0"/>
    <w:rsid w:val="00CF2AE5"/>
    <w:rsid w:val="00CF3446"/>
    <w:rsid w:val="00CF5E73"/>
    <w:rsid w:val="00CF7B5D"/>
    <w:rsid w:val="00D023EA"/>
    <w:rsid w:val="00D03F23"/>
    <w:rsid w:val="00D04072"/>
    <w:rsid w:val="00D1267A"/>
    <w:rsid w:val="00D13C5A"/>
    <w:rsid w:val="00D15C54"/>
    <w:rsid w:val="00D22705"/>
    <w:rsid w:val="00D265EC"/>
    <w:rsid w:val="00D3518A"/>
    <w:rsid w:val="00D40798"/>
    <w:rsid w:val="00D40E08"/>
    <w:rsid w:val="00D415CC"/>
    <w:rsid w:val="00D430E9"/>
    <w:rsid w:val="00D4383F"/>
    <w:rsid w:val="00D51E24"/>
    <w:rsid w:val="00D52478"/>
    <w:rsid w:val="00D56A95"/>
    <w:rsid w:val="00D60795"/>
    <w:rsid w:val="00D63A93"/>
    <w:rsid w:val="00D66459"/>
    <w:rsid w:val="00D70754"/>
    <w:rsid w:val="00D70B75"/>
    <w:rsid w:val="00D72D5D"/>
    <w:rsid w:val="00D77B60"/>
    <w:rsid w:val="00D8311F"/>
    <w:rsid w:val="00D85BE1"/>
    <w:rsid w:val="00D8722C"/>
    <w:rsid w:val="00D92061"/>
    <w:rsid w:val="00D9634F"/>
    <w:rsid w:val="00DA0909"/>
    <w:rsid w:val="00DA5ED6"/>
    <w:rsid w:val="00DB20F2"/>
    <w:rsid w:val="00DB4D76"/>
    <w:rsid w:val="00DB5DD2"/>
    <w:rsid w:val="00DC0416"/>
    <w:rsid w:val="00DC31A8"/>
    <w:rsid w:val="00DC5157"/>
    <w:rsid w:val="00DD19A4"/>
    <w:rsid w:val="00DD50EF"/>
    <w:rsid w:val="00DD5AB4"/>
    <w:rsid w:val="00DD6424"/>
    <w:rsid w:val="00DD6FCD"/>
    <w:rsid w:val="00DE120D"/>
    <w:rsid w:val="00DE2560"/>
    <w:rsid w:val="00DE5CFE"/>
    <w:rsid w:val="00DF0649"/>
    <w:rsid w:val="00DF40B8"/>
    <w:rsid w:val="00DF46F0"/>
    <w:rsid w:val="00DF4F67"/>
    <w:rsid w:val="00DF7E43"/>
    <w:rsid w:val="00E00651"/>
    <w:rsid w:val="00E016E1"/>
    <w:rsid w:val="00E0174F"/>
    <w:rsid w:val="00E017D7"/>
    <w:rsid w:val="00E02A03"/>
    <w:rsid w:val="00E03B70"/>
    <w:rsid w:val="00E06F5D"/>
    <w:rsid w:val="00E079B5"/>
    <w:rsid w:val="00E11CC7"/>
    <w:rsid w:val="00E13F05"/>
    <w:rsid w:val="00E2544E"/>
    <w:rsid w:val="00E26664"/>
    <w:rsid w:val="00E2722F"/>
    <w:rsid w:val="00E32543"/>
    <w:rsid w:val="00E32759"/>
    <w:rsid w:val="00E36176"/>
    <w:rsid w:val="00E415B5"/>
    <w:rsid w:val="00E44935"/>
    <w:rsid w:val="00E474A7"/>
    <w:rsid w:val="00E47838"/>
    <w:rsid w:val="00E519E0"/>
    <w:rsid w:val="00E563CD"/>
    <w:rsid w:val="00E6467D"/>
    <w:rsid w:val="00E6596C"/>
    <w:rsid w:val="00E70E4C"/>
    <w:rsid w:val="00E71CCD"/>
    <w:rsid w:val="00E751F9"/>
    <w:rsid w:val="00E76674"/>
    <w:rsid w:val="00E804B1"/>
    <w:rsid w:val="00E8490F"/>
    <w:rsid w:val="00E86308"/>
    <w:rsid w:val="00E92B42"/>
    <w:rsid w:val="00E9511A"/>
    <w:rsid w:val="00E96111"/>
    <w:rsid w:val="00E962BA"/>
    <w:rsid w:val="00EA02B3"/>
    <w:rsid w:val="00EA19A4"/>
    <w:rsid w:val="00EA4918"/>
    <w:rsid w:val="00EB1616"/>
    <w:rsid w:val="00EB552B"/>
    <w:rsid w:val="00EB67C3"/>
    <w:rsid w:val="00EB704F"/>
    <w:rsid w:val="00EC1FE2"/>
    <w:rsid w:val="00EC257A"/>
    <w:rsid w:val="00ED00FD"/>
    <w:rsid w:val="00ED1282"/>
    <w:rsid w:val="00EF0E98"/>
    <w:rsid w:val="00EF50C4"/>
    <w:rsid w:val="00F01582"/>
    <w:rsid w:val="00F052C2"/>
    <w:rsid w:val="00F05509"/>
    <w:rsid w:val="00F139CD"/>
    <w:rsid w:val="00F16DC1"/>
    <w:rsid w:val="00F20C26"/>
    <w:rsid w:val="00F21809"/>
    <w:rsid w:val="00F24889"/>
    <w:rsid w:val="00F26B3E"/>
    <w:rsid w:val="00F26CCC"/>
    <w:rsid w:val="00F313CA"/>
    <w:rsid w:val="00F34EFB"/>
    <w:rsid w:val="00F37BDB"/>
    <w:rsid w:val="00F41230"/>
    <w:rsid w:val="00F42AC7"/>
    <w:rsid w:val="00F44375"/>
    <w:rsid w:val="00F44E57"/>
    <w:rsid w:val="00F46DD9"/>
    <w:rsid w:val="00F515E4"/>
    <w:rsid w:val="00F53028"/>
    <w:rsid w:val="00F54356"/>
    <w:rsid w:val="00F56499"/>
    <w:rsid w:val="00F57CE2"/>
    <w:rsid w:val="00F57D6C"/>
    <w:rsid w:val="00F60E9B"/>
    <w:rsid w:val="00F612B9"/>
    <w:rsid w:val="00F63C38"/>
    <w:rsid w:val="00F666D8"/>
    <w:rsid w:val="00F71B52"/>
    <w:rsid w:val="00F747C8"/>
    <w:rsid w:val="00F76DF4"/>
    <w:rsid w:val="00F801BE"/>
    <w:rsid w:val="00F80BA0"/>
    <w:rsid w:val="00F8152E"/>
    <w:rsid w:val="00F8293D"/>
    <w:rsid w:val="00F830DF"/>
    <w:rsid w:val="00F8350B"/>
    <w:rsid w:val="00F835B9"/>
    <w:rsid w:val="00F849CF"/>
    <w:rsid w:val="00F90903"/>
    <w:rsid w:val="00F97123"/>
    <w:rsid w:val="00FA0859"/>
    <w:rsid w:val="00FA0D76"/>
    <w:rsid w:val="00FA16F1"/>
    <w:rsid w:val="00FA5AF9"/>
    <w:rsid w:val="00FB19CE"/>
    <w:rsid w:val="00FB5662"/>
    <w:rsid w:val="00FB6B2F"/>
    <w:rsid w:val="00FB704E"/>
    <w:rsid w:val="00FB7224"/>
    <w:rsid w:val="00FC22AA"/>
    <w:rsid w:val="00FC2653"/>
    <w:rsid w:val="00FC4BC9"/>
    <w:rsid w:val="00FC56AD"/>
    <w:rsid w:val="00FD1BE2"/>
    <w:rsid w:val="00FD3B63"/>
    <w:rsid w:val="00FD5E9C"/>
    <w:rsid w:val="00FE0585"/>
    <w:rsid w:val="00FE071E"/>
    <w:rsid w:val="00FE42C5"/>
    <w:rsid w:val="00FF00B0"/>
    <w:rsid w:val="00FF62F0"/>
    <w:rsid w:val="069669E6"/>
    <w:rsid w:val="079C0B94"/>
    <w:rsid w:val="09D9143E"/>
    <w:rsid w:val="14728F6F"/>
    <w:rsid w:val="15B997FD"/>
    <w:rsid w:val="18EFB8F5"/>
    <w:rsid w:val="1B0656F3"/>
    <w:rsid w:val="26A641F7"/>
    <w:rsid w:val="26E0A22B"/>
    <w:rsid w:val="2FC413A9"/>
    <w:rsid w:val="3F43A057"/>
    <w:rsid w:val="43D98BA1"/>
    <w:rsid w:val="47AAEB43"/>
    <w:rsid w:val="481854E6"/>
    <w:rsid w:val="48F28919"/>
    <w:rsid w:val="4EA08320"/>
    <w:rsid w:val="52CA82CA"/>
    <w:rsid w:val="53D59146"/>
    <w:rsid w:val="56AAC3B8"/>
    <w:rsid w:val="57424F6F"/>
    <w:rsid w:val="60C32B76"/>
    <w:rsid w:val="6697FC24"/>
    <w:rsid w:val="6C2F8537"/>
    <w:rsid w:val="738632F3"/>
    <w:rsid w:val="788CF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FE6AA"/>
  <w15:chartTrackingRefBased/>
  <w15:docId w15:val="{B33AD454-1106-49BB-A05C-9E39400C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3CA"/>
  </w:style>
  <w:style w:type="paragraph" w:styleId="Heading1">
    <w:name w:val="heading 1"/>
    <w:basedOn w:val="Normal"/>
    <w:next w:val="Normal"/>
    <w:link w:val="Heading1Char"/>
    <w:uiPriority w:val="9"/>
    <w:qFormat/>
    <w:rsid w:val="00FB704E"/>
    <w:pPr>
      <w:keepNext/>
      <w:keepLines/>
      <w:spacing w:before="240" w:after="0"/>
      <w:outlineLvl w:val="0"/>
    </w:pPr>
    <w:rPr>
      <w:rFonts w:ascii="Calibri" w:eastAsiaTheme="majorEastAsia" w:hAnsi="Calibri" w:cstheme="majorBidi"/>
      <w:b/>
      <w:color w:val="2F5496" w:themeColor="accent1" w:themeShade="BF"/>
      <w:sz w:val="24"/>
      <w:szCs w:val="32"/>
      <w:u w:val="single"/>
    </w:rPr>
  </w:style>
  <w:style w:type="paragraph" w:styleId="Heading2">
    <w:name w:val="heading 2"/>
    <w:basedOn w:val="Normal"/>
    <w:next w:val="Normal"/>
    <w:link w:val="Heading2Char"/>
    <w:uiPriority w:val="9"/>
    <w:unhideWhenUsed/>
    <w:qFormat/>
    <w:rsid w:val="00FB704E"/>
    <w:pPr>
      <w:keepNext/>
      <w:keepLines/>
      <w:spacing w:before="40" w:after="0"/>
      <w:outlineLvl w:val="1"/>
    </w:pPr>
    <w:rPr>
      <w:rFonts w:ascii="Calibri" w:eastAsiaTheme="majorEastAsia" w:hAnsi="Calibri" w:cstheme="majorBidi"/>
      <w:color w:val="4472C4" w:themeColor="accent1"/>
      <w:sz w:val="28"/>
      <w:szCs w:val="26"/>
    </w:rPr>
  </w:style>
  <w:style w:type="paragraph" w:styleId="Heading3">
    <w:name w:val="heading 3"/>
    <w:basedOn w:val="Normal"/>
    <w:next w:val="Normal"/>
    <w:link w:val="Heading3Char"/>
    <w:uiPriority w:val="9"/>
    <w:unhideWhenUsed/>
    <w:qFormat/>
    <w:rsid w:val="001430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3101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28F3"/>
    <w:rPr>
      <w:sz w:val="16"/>
      <w:szCs w:val="16"/>
    </w:rPr>
  </w:style>
  <w:style w:type="paragraph" w:styleId="CommentText">
    <w:name w:val="annotation text"/>
    <w:basedOn w:val="Normal"/>
    <w:link w:val="CommentTextChar"/>
    <w:uiPriority w:val="99"/>
    <w:unhideWhenUsed/>
    <w:rsid w:val="00C128F3"/>
    <w:pPr>
      <w:spacing w:line="240" w:lineRule="auto"/>
    </w:pPr>
    <w:rPr>
      <w:sz w:val="20"/>
      <w:szCs w:val="20"/>
    </w:rPr>
  </w:style>
  <w:style w:type="character" w:customStyle="1" w:styleId="CommentTextChar">
    <w:name w:val="Comment Text Char"/>
    <w:basedOn w:val="DefaultParagraphFont"/>
    <w:link w:val="CommentText"/>
    <w:uiPriority w:val="99"/>
    <w:rsid w:val="00C128F3"/>
    <w:rPr>
      <w:sz w:val="20"/>
      <w:szCs w:val="20"/>
    </w:rPr>
  </w:style>
  <w:style w:type="paragraph" w:styleId="CommentSubject">
    <w:name w:val="annotation subject"/>
    <w:basedOn w:val="CommentText"/>
    <w:next w:val="CommentText"/>
    <w:link w:val="CommentSubjectChar"/>
    <w:uiPriority w:val="99"/>
    <w:semiHidden/>
    <w:unhideWhenUsed/>
    <w:rsid w:val="00C128F3"/>
    <w:rPr>
      <w:b/>
      <w:bCs/>
    </w:rPr>
  </w:style>
  <w:style w:type="character" w:customStyle="1" w:styleId="CommentSubjectChar">
    <w:name w:val="Comment Subject Char"/>
    <w:basedOn w:val="CommentTextChar"/>
    <w:link w:val="CommentSubject"/>
    <w:uiPriority w:val="99"/>
    <w:semiHidden/>
    <w:rsid w:val="00C128F3"/>
    <w:rPr>
      <w:b/>
      <w:bCs/>
      <w:sz w:val="20"/>
      <w:szCs w:val="20"/>
    </w:rPr>
  </w:style>
  <w:style w:type="paragraph" w:styleId="BalloonText">
    <w:name w:val="Balloon Text"/>
    <w:basedOn w:val="Normal"/>
    <w:link w:val="BalloonTextChar"/>
    <w:uiPriority w:val="99"/>
    <w:semiHidden/>
    <w:unhideWhenUsed/>
    <w:rsid w:val="00C12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8F3"/>
    <w:rPr>
      <w:rFonts w:ascii="Segoe UI" w:hAnsi="Segoe UI" w:cs="Segoe UI"/>
      <w:sz w:val="18"/>
      <w:szCs w:val="18"/>
    </w:rPr>
  </w:style>
  <w:style w:type="paragraph" w:styleId="ListParagraph">
    <w:name w:val="List Paragraph"/>
    <w:basedOn w:val="Normal"/>
    <w:uiPriority w:val="1"/>
    <w:qFormat/>
    <w:rsid w:val="00C128F3"/>
    <w:pPr>
      <w:ind w:left="720"/>
      <w:contextualSpacing/>
    </w:pPr>
  </w:style>
  <w:style w:type="character" w:customStyle="1" w:styleId="Heading1Char">
    <w:name w:val="Heading 1 Char"/>
    <w:basedOn w:val="DefaultParagraphFont"/>
    <w:link w:val="Heading1"/>
    <w:uiPriority w:val="9"/>
    <w:rsid w:val="00FB704E"/>
    <w:rPr>
      <w:rFonts w:ascii="Calibri" w:eastAsiaTheme="majorEastAsia" w:hAnsi="Calibri" w:cstheme="majorBidi"/>
      <w:b/>
      <w:color w:val="2F5496" w:themeColor="accent1" w:themeShade="BF"/>
      <w:sz w:val="24"/>
      <w:szCs w:val="32"/>
      <w:u w:val="single"/>
    </w:rPr>
  </w:style>
  <w:style w:type="paragraph" w:styleId="Subtitle">
    <w:name w:val="Subtitle"/>
    <w:basedOn w:val="Normal"/>
    <w:next w:val="Normal"/>
    <w:link w:val="SubtitleChar"/>
    <w:uiPriority w:val="11"/>
    <w:qFormat/>
    <w:rsid w:val="009A50C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50C2"/>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FB704E"/>
    <w:rPr>
      <w:rFonts w:ascii="Calibri" w:eastAsiaTheme="majorEastAsia" w:hAnsi="Calibri" w:cstheme="majorBidi"/>
      <w:color w:val="4472C4" w:themeColor="accent1"/>
      <w:sz w:val="28"/>
      <w:szCs w:val="26"/>
    </w:rPr>
  </w:style>
  <w:style w:type="character" w:customStyle="1" w:styleId="Heading3Char">
    <w:name w:val="Heading 3 Char"/>
    <w:basedOn w:val="DefaultParagraphFont"/>
    <w:link w:val="Heading3"/>
    <w:uiPriority w:val="9"/>
    <w:rsid w:val="0014306A"/>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C64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75F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6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F5D"/>
  </w:style>
  <w:style w:type="paragraph" w:styleId="Footer">
    <w:name w:val="footer"/>
    <w:basedOn w:val="Normal"/>
    <w:link w:val="FooterChar"/>
    <w:uiPriority w:val="99"/>
    <w:unhideWhenUsed/>
    <w:rsid w:val="00E06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F5D"/>
  </w:style>
  <w:style w:type="character" w:customStyle="1" w:styleId="normaltextrun">
    <w:name w:val="normaltextrun"/>
    <w:basedOn w:val="DefaultParagraphFont"/>
    <w:rsid w:val="00077085"/>
  </w:style>
  <w:style w:type="character" w:customStyle="1" w:styleId="eop">
    <w:name w:val="eop"/>
    <w:basedOn w:val="DefaultParagraphFont"/>
    <w:rsid w:val="00077085"/>
  </w:style>
  <w:style w:type="character" w:customStyle="1" w:styleId="spellingerror">
    <w:name w:val="spellingerror"/>
    <w:basedOn w:val="DefaultParagraphFont"/>
    <w:rsid w:val="00077085"/>
  </w:style>
  <w:style w:type="paragraph" w:customStyle="1" w:styleId="RCListb">
    <w:name w:val="RC_List_b"/>
    <w:basedOn w:val="Normal"/>
    <w:qFormat/>
    <w:rsid w:val="00C05AB4"/>
    <w:pPr>
      <w:numPr>
        <w:numId w:val="8"/>
      </w:numPr>
      <w:spacing w:after="120" w:line="240" w:lineRule="auto"/>
    </w:pPr>
    <w:rPr>
      <w:sz w:val="24"/>
      <w:szCs w:val="24"/>
    </w:rPr>
  </w:style>
  <w:style w:type="paragraph" w:styleId="ListNumber2">
    <w:name w:val="List Number 2"/>
    <w:basedOn w:val="Normal"/>
    <w:uiPriority w:val="99"/>
    <w:unhideWhenUsed/>
    <w:rsid w:val="00C05AB4"/>
    <w:pPr>
      <w:numPr>
        <w:numId w:val="7"/>
      </w:numPr>
      <w:tabs>
        <w:tab w:val="clear" w:pos="1080"/>
      </w:tabs>
      <w:spacing w:after="120" w:line="240" w:lineRule="auto"/>
      <w:ind w:left="923" w:hanging="262"/>
      <w:contextualSpacing/>
    </w:pPr>
    <w:rPr>
      <w:sz w:val="24"/>
      <w:szCs w:val="24"/>
    </w:rPr>
  </w:style>
  <w:style w:type="character" w:customStyle="1" w:styleId="contextualspellingandgrammarerror">
    <w:name w:val="contextualspellingandgrammarerror"/>
    <w:basedOn w:val="DefaultParagraphFont"/>
    <w:rsid w:val="00C05AB4"/>
  </w:style>
  <w:style w:type="paragraph" w:customStyle="1" w:styleId="RCList25">
    <w:name w:val="RC_List2_5"/>
    <w:basedOn w:val="RCListb"/>
    <w:qFormat/>
    <w:rsid w:val="00C05AB4"/>
    <w:pPr>
      <w:numPr>
        <w:ilvl w:val="1"/>
      </w:numPr>
    </w:pPr>
    <w:rPr>
      <w:rFonts w:ascii="Calibri" w:hAnsi="Calibri" w:cs="Calibri"/>
      <w:u w:val="single"/>
    </w:rPr>
  </w:style>
  <w:style w:type="paragraph" w:styleId="FootnoteText">
    <w:name w:val="footnote text"/>
    <w:basedOn w:val="Normal"/>
    <w:link w:val="FootnoteTextChar"/>
    <w:uiPriority w:val="99"/>
    <w:semiHidden/>
    <w:unhideWhenUsed/>
    <w:rsid w:val="00075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7523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75233"/>
    <w:rPr>
      <w:vertAlign w:val="superscript"/>
    </w:rPr>
  </w:style>
  <w:style w:type="character" w:styleId="Hyperlink">
    <w:name w:val="Hyperlink"/>
    <w:basedOn w:val="DefaultParagraphFont"/>
    <w:uiPriority w:val="99"/>
    <w:unhideWhenUsed/>
    <w:rsid w:val="006E53F9"/>
    <w:rPr>
      <w:color w:val="0563C1" w:themeColor="hyperlink"/>
      <w:u w:val="single"/>
    </w:rPr>
  </w:style>
  <w:style w:type="character" w:styleId="UnresolvedMention">
    <w:name w:val="Unresolved Mention"/>
    <w:basedOn w:val="DefaultParagraphFont"/>
    <w:uiPriority w:val="99"/>
    <w:semiHidden/>
    <w:unhideWhenUsed/>
    <w:rsid w:val="006E53F9"/>
    <w:rPr>
      <w:color w:val="605E5C"/>
      <w:shd w:val="clear" w:color="auto" w:fill="E1DFDD"/>
    </w:rPr>
  </w:style>
  <w:style w:type="paragraph" w:styleId="Revision">
    <w:name w:val="Revision"/>
    <w:hidden/>
    <w:uiPriority w:val="99"/>
    <w:semiHidden/>
    <w:rsid w:val="00FA16F1"/>
    <w:pPr>
      <w:spacing w:after="0" w:line="240" w:lineRule="auto"/>
    </w:pPr>
  </w:style>
  <w:style w:type="paragraph" w:customStyle="1" w:styleId="Default">
    <w:name w:val="Default"/>
    <w:rsid w:val="00483C26"/>
    <w:pPr>
      <w:autoSpaceDE w:val="0"/>
      <w:autoSpaceDN w:val="0"/>
      <w:adjustRightInd w:val="0"/>
      <w:spacing w:after="0" w:line="240" w:lineRule="auto"/>
    </w:pPr>
    <w:rPr>
      <w:rFonts w:ascii="Calibri" w:hAnsi="Calibri" w:cs="Calibri"/>
      <w:color w:val="000000"/>
      <w:sz w:val="24"/>
      <w:szCs w:val="24"/>
    </w:rPr>
  </w:style>
  <w:style w:type="paragraph" w:customStyle="1" w:styleId="RCList">
    <w:name w:val="RC_List"/>
    <w:basedOn w:val="Normal"/>
    <w:qFormat/>
    <w:rsid w:val="007A098E"/>
    <w:pPr>
      <w:numPr>
        <w:numId w:val="9"/>
      </w:numPr>
      <w:spacing w:after="120" w:line="240" w:lineRule="auto"/>
    </w:pPr>
    <w:rPr>
      <w:rFonts w:ascii="Calibri" w:eastAsia="Calibri" w:hAnsi="Calibri" w:cs="Times New Roman"/>
      <w:sz w:val="24"/>
      <w:szCs w:val="24"/>
    </w:rPr>
  </w:style>
  <w:style w:type="character" w:styleId="Mention">
    <w:name w:val="Mention"/>
    <w:uiPriority w:val="99"/>
    <w:unhideWhenUsed/>
    <w:rsid w:val="00EF50C4"/>
    <w:rPr>
      <w:color w:val="2B579A"/>
      <w:shd w:val="clear" w:color="auto" w:fill="E1DFDD"/>
    </w:rPr>
  </w:style>
  <w:style w:type="paragraph" w:styleId="BodyText">
    <w:name w:val="Body Text"/>
    <w:basedOn w:val="Normal"/>
    <w:link w:val="BodyTextChar"/>
    <w:uiPriority w:val="1"/>
    <w:qFormat/>
    <w:rsid w:val="0008034C"/>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08034C"/>
    <w:rPr>
      <w:rFonts w:ascii="Times New Roman" w:eastAsia="Times New Roman" w:hAnsi="Times New Roman" w:cs="Times New Roman"/>
      <w:sz w:val="20"/>
      <w:szCs w:val="20"/>
      <w:lang w:bidi="en-US"/>
    </w:rPr>
  </w:style>
  <w:style w:type="paragraph" w:customStyle="1" w:styleId="RCSectionHead">
    <w:name w:val="RC_SectionHead"/>
    <w:basedOn w:val="Normal"/>
    <w:qFormat/>
    <w:rsid w:val="006E4DD6"/>
    <w:pPr>
      <w:spacing w:after="120" w:line="240" w:lineRule="auto"/>
      <w:ind w:left="360"/>
    </w:pPr>
    <w:rPr>
      <w:rFonts w:ascii="Calibri" w:eastAsia="Calibri" w:hAnsi="Calibri" w:cs="Times New Roman"/>
      <w:b/>
      <w:sz w:val="24"/>
      <w:szCs w:val="24"/>
    </w:rPr>
  </w:style>
  <w:style w:type="character" w:customStyle="1" w:styleId="Heading4Char">
    <w:name w:val="Heading 4 Char"/>
    <w:basedOn w:val="DefaultParagraphFont"/>
    <w:link w:val="Heading4"/>
    <w:uiPriority w:val="9"/>
    <w:semiHidden/>
    <w:rsid w:val="00C3101F"/>
    <w:rPr>
      <w:rFonts w:asciiTheme="majorHAnsi" w:eastAsiaTheme="majorEastAsia" w:hAnsiTheme="majorHAnsi" w:cstheme="majorBidi"/>
      <w:i/>
      <w:iCs/>
      <w:color w:val="2F5496" w:themeColor="accent1" w:themeShade="BF"/>
    </w:rPr>
  </w:style>
  <w:style w:type="character" w:customStyle="1" w:styleId="CharacterStyle2">
    <w:name w:val="Character Style 2"/>
    <w:uiPriority w:val="99"/>
    <w:rsid w:val="0005337B"/>
    <w:rPr>
      <w:sz w:val="20"/>
    </w:rPr>
  </w:style>
  <w:style w:type="paragraph" w:styleId="Caption">
    <w:name w:val="caption"/>
    <w:basedOn w:val="Normal"/>
    <w:next w:val="Normal"/>
    <w:uiPriority w:val="35"/>
    <w:unhideWhenUsed/>
    <w:qFormat/>
    <w:rsid w:val="0005337B"/>
    <w:pPr>
      <w:spacing w:after="200" w:line="240" w:lineRule="auto"/>
    </w:pPr>
    <w:rPr>
      <w:i/>
      <w:iCs/>
      <w:color w:val="44546A" w:themeColor="text2"/>
      <w:sz w:val="18"/>
      <w:szCs w:val="18"/>
    </w:rPr>
  </w:style>
  <w:style w:type="paragraph" w:customStyle="1" w:styleId="paragraph">
    <w:name w:val="paragraph"/>
    <w:basedOn w:val="Normal"/>
    <w:rsid w:val="000B59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04561">
      <w:bodyDiv w:val="1"/>
      <w:marLeft w:val="0"/>
      <w:marRight w:val="0"/>
      <w:marTop w:val="0"/>
      <w:marBottom w:val="0"/>
      <w:divBdr>
        <w:top w:val="none" w:sz="0" w:space="0" w:color="auto"/>
        <w:left w:val="none" w:sz="0" w:space="0" w:color="auto"/>
        <w:bottom w:val="none" w:sz="0" w:space="0" w:color="auto"/>
        <w:right w:val="none" w:sz="0" w:space="0" w:color="auto"/>
      </w:divBdr>
    </w:div>
    <w:div w:id="310250859">
      <w:bodyDiv w:val="1"/>
      <w:marLeft w:val="0"/>
      <w:marRight w:val="0"/>
      <w:marTop w:val="0"/>
      <w:marBottom w:val="0"/>
      <w:divBdr>
        <w:top w:val="none" w:sz="0" w:space="0" w:color="auto"/>
        <w:left w:val="none" w:sz="0" w:space="0" w:color="auto"/>
        <w:bottom w:val="none" w:sz="0" w:space="0" w:color="auto"/>
        <w:right w:val="none" w:sz="0" w:space="0" w:color="auto"/>
      </w:divBdr>
    </w:div>
    <w:div w:id="465125610">
      <w:bodyDiv w:val="1"/>
      <w:marLeft w:val="0"/>
      <w:marRight w:val="0"/>
      <w:marTop w:val="0"/>
      <w:marBottom w:val="0"/>
      <w:divBdr>
        <w:top w:val="none" w:sz="0" w:space="0" w:color="auto"/>
        <w:left w:val="none" w:sz="0" w:space="0" w:color="auto"/>
        <w:bottom w:val="none" w:sz="0" w:space="0" w:color="auto"/>
        <w:right w:val="none" w:sz="0" w:space="0" w:color="auto"/>
      </w:divBdr>
    </w:div>
    <w:div w:id="627977822">
      <w:bodyDiv w:val="1"/>
      <w:marLeft w:val="0"/>
      <w:marRight w:val="0"/>
      <w:marTop w:val="0"/>
      <w:marBottom w:val="0"/>
      <w:divBdr>
        <w:top w:val="none" w:sz="0" w:space="0" w:color="auto"/>
        <w:left w:val="none" w:sz="0" w:space="0" w:color="auto"/>
        <w:bottom w:val="none" w:sz="0" w:space="0" w:color="auto"/>
        <w:right w:val="none" w:sz="0" w:space="0" w:color="auto"/>
      </w:divBdr>
    </w:div>
    <w:div w:id="660891980">
      <w:bodyDiv w:val="1"/>
      <w:marLeft w:val="0"/>
      <w:marRight w:val="0"/>
      <w:marTop w:val="0"/>
      <w:marBottom w:val="0"/>
      <w:divBdr>
        <w:top w:val="none" w:sz="0" w:space="0" w:color="auto"/>
        <w:left w:val="none" w:sz="0" w:space="0" w:color="auto"/>
        <w:bottom w:val="none" w:sz="0" w:space="0" w:color="auto"/>
        <w:right w:val="none" w:sz="0" w:space="0" w:color="auto"/>
      </w:divBdr>
    </w:div>
    <w:div w:id="986396970">
      <w:bodyDiv w:val="1"/>
      <w:marLeft w:val="0"/>
      <w:marRight w:val="0"/>
      <w:marTop w:val="0"/>
      <w:marBottom w:val="0"/>
      <w:divBdr>
        <w:top w:val="none" w:sz="0" w:space="0" w:color="auto"/>
        <w:left w:val="none" w:sz="0" w:space="0" w:color="auto"/>
        <w:bottom w:val="none" w:sz="0" w:space="0" w:color="auto"/>
        <w:right w:val="none" w:sz="0" w:space="0" w:color="auto"/>
      </w:divBdr>
    </w:div>
    <w:div w:id="1442217803">
      <w:bodyDiv w:val="1"/>
      <w:marLeft w:val="0"/>
      <w:marRight w:val="0"/>
      <w:marTop w:val="0"/>
      <w:marBottom w:val="0"/>
      <w:divBdr>
        <w:top w:val="none" w:sz="0" w:space="0" w:color="auto"/>
        <w:left w:val="none" w:sz="0" w:space="0" w:color="auto"/>
        <w:bottom w:val="none" w:sz="0" w:space="0" w:color="auto"/>
        <w:right w:val="none" w:sz="0" w:space="0" w:color="auto"/>
      </w:divBdr>
    </w:div>
    <w:div w:id="1530294249">
      <w:bodyDiv w:val="1"/>
      <w:marLeft w:val="0"/>
      <w:marRight w:val="0"/>
      <w:marTop w:val="0"/>
      <w:marBottom w:val="0"/>
      <w:divBdr>
        <w:top w:val="none" w:sz="0" w:space="0" w:color="auto"/>
        <w:left w:val="none" w:sz="0" w:space="0" w:color="auto"/>
        <w:bottom w:val="none" w:sz="0" w:space="0" w:color="auto"/>
        <w:right w:val="none" w:sz="0" w:space="0" w:color="auto"/>
      </w:divBdr>
    </w:div>
    <w:div w:id="1558710664">
      <w:bodyDiv w:val="1"/>
      <w:marLeft w:val="0"/>
      <w:marRight w:val="0"/>
      <w:marTop w:val="0"/>
      <w:marBottom w:val="0"/>
      <w:divBdr>
        <w:top w:val="none" w:sz="0" w:space="0" w:color="auto"/>
        <w:left w:val="none" w:sz="0" w:space="0" w:color="auto"/>
        <w:bottom w:val="none" w:sz="0" w:space="0" w:color="auto"/>
        <w:right w:val="none" w:sz="0" w:space="0" w:color="auto"/>
      </w:divBdr>
    </w:div>
    <w:div w:id="207231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ergycodeace.com/site/custom/public/reference-ace-2022/Documents/gloss_standarddesignbuild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E7ED52E40D244A93EA2F9A216ADC5" ma:contentTypeVersion="" ma:contentTypeDescription="Create a new document." ma:contentTypeScope="" ma:versionID="eb537622bcacbe4041a857cd792c6f5e">
  <xsd:schema xmlns:xsd="http://www.w3.org/2001/XMLSchema" xmlns:xs="http://www.w3.org/2001/XMLSchema" xmlns:p="http://schemas.microsoft.com/office/2006/metadata/properties" xmlns:ns1="http://schemas.microsoft.com/sharepoint/v3" xmlns:ns2="c965c6bc-a7c1-413b-ae2a-822513f71ed5" xmlns:ns3="f08ec9a6-b51a-4c00-ad15-c2c879b888f0" xmlns:ns4="b29e49d9-f2c4-47d9-9c7f-cfc3574563db" targetNamespace="http://schemas.microsoft.com/office/2006/metadata/properties" ma:root="true" ma:fieldsID="f2f3bbfcb3ad05656bc4417cc32acad0" ns1:_="" ns2:_="" ns3:_="" ns4:_="">
    <xsd:import namespace="http://schemas.microsoft.com/sharepoint/v3"/>
    <xsd:import namespace="c965c6bc-a7c1-413b-ae2a-822513f71ed5"/>
    <xsd:import namespace="f08ec9a6-b51a-4c00-ad15-c2c879b888f0"/>
    <xsd:import namespace="b29e49d9-f2c4-47d9-9c7f-cfc3574563d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5c6bc-a7c1-413b-ae2a-822513f71e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ec9a6-b51a-4c00-ad15-c2c879b888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cbb372-83b4-4975-ae2a-fd32a66bfecb}" ma:internalName="TaxCatchAll" ma:showField="CatchAllData" ma:web="f08ec9a6-b51a-4c00-ad15-c2c879b888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9e49d9-f2c4-47d9-9c7f-cfc3574563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f08ec9a6-b51a-4c00-ad15-c2c879b888f0" xsi:nil="true"/>
    <lcf76f155ced4ddcb4097134ff3c332f xmlns="c965c6bc-a7c1-413b-ae2a-822513f71e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A1F8A6-7E0D-4D30-BAED-75A576558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65c6bc-a7c1-413b-ae2a-822513f71ed5"/>
    <ds:schemaRef ds:uri="f08ec9a6-b51a-4c00-ad15-c2c879b888f0"/>
    <ds:schemaRef ds:uri="b29e49d9-f2c4-47d9-9c7f-cfc357456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05F26-A9A3-4B11-8427-83043D604500}">
  <ds:schemaRefs>
    <ds:schemaRef ds:uri="http://schemas.microsoft.com/sharepoint/v3/contenttype/forms"/>
  </ds:schemaRefs>
</ds:datastoreItem>
</file>

<file path=customXml/itemProps3.xml><?xml version="1.0" encoding="utf-8"?>
<ds:datastoreItem xmlns:ds="http://schemas.openxmlformats.org/officeDocument/2006/customXml" ds:itemID="{8124CB8B-B90D-4A3A-8243-EB526FBDD362}">
  <ds:schemaRefs>
    <ds:schemaRef ds:uri="http://schemas.microsoft.com/office/2006/metadata/properties"/>
    <ds:schemaRef ds:uri="http://schemas.microsoft.com/office/infopath/2007/PartnerControls"/>
    <ds:schemaRef ds:uri="http://schemas.microsoft.com/sharepoint/v3"/>
    <ds:schemaRef ds:uri="f08ec9a6-b51a-4c00-ad15-c2c879b888f0"/>
    <ds:schemaRef ds:uri="c965c6bc-a7c1-413b-ae2a-822513f71ed5"/>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Properties xmlns="http://schemas.openxmlformats.org/officeDocument/2006/extended-properties" xmlns:vt="http://schemas.openxmlformats.org/officeDocument/2006/docPropsVTypes">
  <Template>Normal</Template>
  <TotalTime>4</TotalTime>
  <Pages>15</Pages>
  <Words>3824</Words>
  <Characters>21799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Farahmand, Farhad</dc:creator>
  <cp:keywords/>
  <dc:description/>
  <cp:lastModifiedBy>Mensalvas, Tim</cp:lastModifiedBy>
  <cp:revision>7</cp:revision>
  <dcterms:created xsi:type="dcterms:W3CDTF">2024-07-01T19:13:00Z</dcterms:created>
  <dcterms:modified xsi:type="dcterms:W3CDTF">2024-07-01T20:34:00Z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0x010100DA7E7ED52E40D244A93EA2F9A216ADC5</vt:lpwstr>
  </property>
  <property fmtid="{D5CDD505-2E9C-101B-9397-08002B2CF9AE}" pid="3" name="MediaServiceImageTags">
    <vt:lpwstr/>
  </property>
</Properties>
</file>